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70EC2" w14:textId="4553E0F9" w:rsidR="00E043DB" w:rsidRPr="00E043DB" w:rsidRDefault="00E043DB" w:rsidP="00BC7692">
      <w:pPr>
        <w:spacing w:line="240" w:lineRule="auto"/>
        <w:jc w:val="center"/>
        <w:rPr>
          <w:rFonts w:ascii="Times New Roman" w:hAnsi="Times New Roman" w:cs="Times New Roman"/>
          <w:sz w:val="40"/>
          <w:szCs w:val="40"/>
        </w:rPr>
      </w:pPr>
      <w:bookmarkStart w:id="0" w:name="_GoBack"/>
      <w:bookmarkEnd w:id="0"/>
      <w:r>
        <w:rPr>
          <w:rFonts w:ascii="Times New Roman" w:hAnsi="Times New Roman" w:cs="Times New Roman"/>
          <w:b/>
          <w:sz w:val="40"/>
          <w:szCs w:val="40"/>
        </w:rPr>
        <w:t>THE PARA-ECONOMIC PARADIGM: IMPLEMENTATION STRATEGIES</w:t>
      </w:r>
    </w:p>
    <w:p w14:paraId="369122CE" w14:textId="6419DB86" w:rsidR="00E043DB" w:rsidRDefault="00E043DB" w:rsidP="00BC76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Michelle Dennis (</w:t>
      </w:r>
      <w:r w:rsidR="00F47913">
        <w:rPr>
          <w:rFonts w:ascii="Times New Roman" w:hAnsi="Times New Roman" w:cs="Times New Roman"/>
          <w:sz w:val="24"/>
          <w:szCs w:val="24"/>
        </w:rPr>
        <w:t>f</w:t>
      </w:r>
      <w:r>
        <w:rPr>
          <w:rFonts w:ascii="Times New Roman" w:hAnsi="Times New Roman" w:cs="Times New Roman"/>
          <w:sz w:val="24"/>
          <w:szCs w:val="24"/>
        </w:rPr>
        <w:t>ormerly Charles M</w:t>
      </w:r>
      <w:r w:rsidR="00F47913">
        <w:rPr>
          <w:rFonts w:ascii="Times New Roman" w:hAnsi="Times New Roman" w:cs="Times New Roman"/>
          <w:sz w:val="24"/>
          <w:szCs w:val="24"/>
        </w:rPr>
        <w:t>.</w:t>
      </w:r>
      <w:r>
        <w:rPr>
          <w:rFonts w:ascii="Times New Roman" w:hAnsi="Times New Roman" w:cs="Times New Roman"/>
          <w:sz w:val="24"/>
          <w:szCs w:val="24"/>
        </w:rPr>
        <w:t xml:space="preserve"> Dennis),</w:t>
      </w:r>
    </w:p>
    <w:p w14:paraId="4A2A5F71" w14:textId="53BDE1ED" w:rsidR="00E043DB" w:rsidRDefault="00E043DB" w:rsidP="00BC76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Retired Director of Finance, City of Santa Monica, California, </w:t>
      </w:r>
    </w:p>
    <w:p w14:paraId="5EA9723E" w14:textId="65518FE2" w:rsidR="00E043DB" w:rsidRDefault="00E043DB" w:rsidP="00BC76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Certified Public Finance Officer, Lecturer</w:t>
      </w:r>
      <w:r w:rsidR="00344981">
        <w:rPr>
          <w:rFonts w:ascii="Times New Roman" w:hAnsi="Times New Roman" w:cs="Times New Roman"/>
          <w:sz w:val="24"/>
          <w:szCs w:val="24"/>
        </w:rPr>
        <w:t>,</w:t>
      </w:r>
      <w:r>
        <w:rPr>
          <w:rFonts w:ascii="Times New Roman" w:hAnsi="Times New Roman" w:cs="Times New Roman"/>
          <w:sz w:val="24"/>
          <w:szCs w:val="24"/>
        </w:rPr>
        <w:t xml:space="preserve"> </w:t>
      </w:r>
      <w:r w:rsidR="0092183E">
        <w:rPr>
          <w:rFonts w:ascii="Times New Roman" w:hAnsi="Times New Roman" w:cs="Times New Roman"/>
          <w:sz w:val="24"/>
          <w:szCs w:val="24"/>
        </w:rPr>
        <w:t xml:space="preserve">Meyer and Renee </w:t>
      </w:r>
      <w:r>
        <w:rPr>
          <w:rFonts w:ascii="Times New Roman" w:hAnsi="Times New Roman" w:cs="Times New Roman"/>
          <w:sz w:val="24"/>
          <w:szCs w:val="24"/>
        </w:rPr>
        <w:t>Luskin Graduate School of Public Affairs, Public Policy Department, UCLA</w:t>
      </w:r>
    </w:p>
    <w:p w14:paraId="0509D102" w14:textId="64A3EF86" w:rsidR="000C6691" w:rsidRDefault="000C6691" w:rsidP="00BC7692">
      <w:pPr>
        <w:spacing w:after="0" w:line="240" w:lineRule="auto"/>
        <w:jc w:val="center"/>
        <w:rPr>
          <w:rFonts w:ascii="Times New Roman" w:hAnsi="Times New Roman" w:cs="Times New Roman"/>
          <w:sz w:val="24"/>
          <w:szCs w:val="24"/>
        </w:rPr>
      </w:pPr>
    </w:p>
    <w:p w14:paraId="0028D18F" w14:textId="0495D27F" w:rsidR="000C6691" w:rsidRDefault="000C6691" w:rsidP="00BC7692">
      <w:pPr>
        <w:spacing w:after="0" w:line="240" w:lineRule="auto"/>
        <w:jc w:val="center"/>
        <w:rPr>
          <w:rFonts w:ascii="Times New Roman" w:hAnsi="Times New Roman" w:cs="Times New Roman"/>
          <w:i/>
        </w:rPr>
      </w:pPr>
      <w:r>
        <w:rPr>
          <w:rFonts w:ascii="Times New Roman" w:hAnsi="Times New Roman" w:cs="Times New Roman"/>
          <w:i/>
        </w:rPr>
        <w:t>Presented at the American Society for Public Administration 2019 Conference on March 11, 2019;</w:t>
      </w:r>
    </w:p>
    <w:p w14:paraId="7951E234" w14:textId="5CE818CB" w:rsidR="000C6691" w:rsidRPr="000C6691" w:rsidRDefault="000C6691" w:rsidP="00BC7692">
      <w:pPr>
        <w:spacing w:after="0" w:line="240" w:lineRule="auto"/>
        <w:jc w:val="center"/>
        <w:rPr>
          <w:rFonts w:ascii="Times New Roman" w:hAnsi="Times New Roman" w:cs="Times New Roman"/>
          <w:i/>
        </w:rPr>
      </w:pPr>
      <w:r>
        <w:rPr>
          <w:rFonts w:ascii="Times New Roman" w:hAnsi="Times New Roman" w:cs="Times New Roman"/>
          <w:i/>
        </w:rPr>
        <w:t>Panel –</w:t>
      </w:r>
      <w:r w:rsidR="00B91016">
        <w:rPr>
          <w:rFonts w:ascii="Times New Roman" w:hAnsi="Times New Roman" w:cs="Times New Roman"/>
          <w:i/>
        </w:rPr>
        <w:t xml:space="preserve"> </w:t>
      </w:r>
      <w:r>
        <w:rPr>
          <w:rFonts w:ascii="Times New Roman" w:hAnsi="Times New Roman" w:cs="Times New Roman"/>
          <w:i/>
        </w:rPr>
        <w:t>“Reconceptualizing Public Administration: Towards a New Paradigm of Public Governance and Societal Inquiry”</w:t>
      </w:r>
    </w:p>
    <w:p w14:paraId="2FADAB83" w14:textId="3B21B7A4" w:rsidR="00C056E6" w:rsidRDefault="00C056E6" w:rsidP="000C6691">
      <w:pPr>
        <w:spacing w:after="0" w:line="240" w:lineRule="auto"/>
        <w:rPr>
          <w:rFonts w:ascii="Times New Roman" w:hAnsi="Times New Roman" w:cs="Times New Roman"/>
          <w:sz w:val="24"/>
          <w:szCs w:val="24"/>
        </w:rPr>
      </w:pPr>
    </w:p>
    <w:p w14:paraId="0E8EAF74" w14:textId="7F4379FF" w:rsidR="00A22522" w:rsidRPr="00AE0C6F" w:rsidRDefault="00AE0C6F" w:rsidP="00AE0C6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Overview</w:t>
      </w:r>
    </w:p>
    <w:p w14:paraId="40E67888" w14:textId="64AABFB0" w:rsidR="00A22522" w:rsidRDefault="00A22522" w:rsidP="00E043DB">
      <w:pPr>
        <w:spacing w:after="0" w:line="240" w:lineRule="auto"/>
        <w:jc w:val="center"/>
        <w:rPr>
          <w:rFonts w:ascii="Times New Roman" w:hAnsi="Times New Roman" w:cs="Times New Roman"/>
          <w:sz w:val="24"/>
          <w:szCs w:val="24"/>
        </w:rPr>
      </w:pPr>
    </w:p>
    <w:p w14:paraId="39804852" w14:textId="041DCA76" w:rsidR="00C45586" w:rsidRPr="00200EDF" w:rsidRDefault="00C45586" w:rsidP="00C45586">
      <w:pPr>
        <w:spacing w:after="0" w:line="240" w:lineRule="auto"/>
        <w:ind w:left="720"/>
        <w:rPr>
          <w:rFonts w:ascii="Times New Roman" w:hAnsi="Times New Roman" w:cs="Times New Roman"/>
          <w:i/>
          <w:sz w:val="20"/>
          <w:szCs w:val="20"/>
        </w:rPr>
      </w:pPr>
      <w:r w:rsidRPr="00200EDF">
        <w:rPr>
          <w:rFonts w:ascii="Times New Roman" w:hAnsi="Times New Roman" w:cs="Times New Roman"/>
          <w:sz w:val="20"/>
          <w:szCs w:val="20"/>
        </w:rPr>
        <w:t>“</w:t>
      </w:r>
      <w:r w:rsidRPr="00200EDF">
        <w:rPr>
          <w:rFonts w:ascii="Times New Roman" w:hAnsi="Times New Roman" w:cs="Times New Roman"/>
          <w:i/>
          <w:sz w:val="20"/>
          <w:szCs w:val="20"/>
        </w:rPr>
        <w:t xml:space="preserve">The traditional approach followed by economists to measure human well-being focuses on the resources that individuals have at their command, which are usually assessed in terms of either money income or assets or the goods and services that they consume. However, although resources are clearly important for human well-being…, they are also clearly insufficient…. human well-being depends on what resources enable people to do and to be, and the ability to convert resources into a good life varies across people. This suggests that indicators that go beyond being measures of income, wealth and consumption and incorporate the non-monetary aspects of quality of life… have an important role to play.” (Stiglitz, page 141) </w:t>
      </w:r>
    </w:p>
    <w:p w14:paraId="76ABCEE8" w14:textId="382D8AD3" w:rsidR="00A22522" w:rsidRPr="00C50769" w:rsidRDefault="00A22522" w:rsidP="00C50769">
      <w:pPr>
        <w:spacing w:after="0" w:line="240" w:lineRule="auto"/>
        <w:jc w:val="both"/>
        <w:rPr>
          <w:rFonts w:ascii="Times New Roman" w:hAnsi="Times New Roman" w:cs="Times New Roman"/>
          <w:sz w:val="24"/>
          <w:szCs w:val="24"/>
        </w:rPr>
      </w:pPr>
    </w:p>
    <w:p w14:paraId="579E5235" w14:textId="4CB2848C" w:rsidR="00F337D1" w:rsidRDefault="00C50769" w:rsidP="00C50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issuance of the Report by the Commission on the Measurement of Economic Performance and Social Progress in 2009</w:t>
      </w:r>
      <w:r w:rsidR="00A64F46">
        <w:rPr>
          <w:rFonts w:ascii="Times New Roman" w:hAnsi="Times New Roman" w:cs="Times New Roman"/>
          <w:sz w:val="24"/>
          <w:szCs w:val="24"/>
        </w:rPr>
        <w:t>, along with other similar reports,</w:t>
      </w:r>
      <w:r>
        <w:rPr>
          <w:rFonts w:ascii="Times New Roman" w:hAnsi="Times New Roman" w:cs="Times New Roman"/>
          <w:sz w:val="24"/>
          <w:szCs w:val="24"/>
        </w:rPr>
        <w:t xml:space="preserve"> began a global quest to identify measures of wellbeing of people to augment traditional measures of economic activity, and how to incorporate wellbeing measures in</w:t>
      </w:r>
      <w:r w:rsidR="00F337D1">
        <w:rPr>
          <w:rFonts w:ascii="Times New Roman" w:hAnsi="Times New Roman" w:cs="Times New Roman"/>
          <w:sz w:val="24"/>
          <w:szCs w:val="24"/>
        </w:rPr>
        <w:t>to</w:t>
      </w:r>
      <w:r>
        <w:rPr>
          <w:rFonts w:ascii="Times New Roman" w:hAnsi="Times New Roman" w:cs="Times New Roman"/>
          <w:sz w:val="24"/>
          <w:szCs w:val="24"/>
        </w:rPr>
        <w:t xml:space="preserve"> the public policy</w:t>
      </w:r>
      <w:r w:rsidR="00F337D1">
        <w:rPr>
          <w:rFonts w:ascii="Times New Roman" w:hAnsi="Times New Roman" w:cs="Times New Roman"/>
          <w:sz w:val="24"/>
          <w:szCs w:val="24"/>
        </w:rPr>
        <w:t>making process</w:t>
      </w:r>
      <w:r>
        <w:rPr>
          <w:rFonts w:ascii="Times New Roman" w:hAnsi="Times New Roman" w:cs="Times New Roman"/>
          <w:sz w:val="24"/>
          <w:szCs w:val="24"/>
        </w:rPr>
        <w:t xml:space="preserve">. </w:t>
      </w:r>
      <w:r w:rsidR="00344981">
        <w:rPr>
          <w:rFonts w:ascii="Times New Roman" w:hAnsi="Times New Roman" w:cs="Times New Roman"/>
          <w:sz w:val="24"/>
          <w:szCs w:val="24"/>
        </w:rPr>
        <w:t xml:space="preserve">Implicit in this quest is the acknowledgement that </w:t>
      </w:r>
      <w:r w:rsidR="002223A0">
        <w:rPr>
          <w:rFonts w:ascii="Times New Roman" w:hAnsi="Times New Roman" w:cs="Times New Roman"/>
          <w:sz w:val="24"/>
          <w:szCs w:val="24"/>
        </w:rPr>
        <w:t>the quality of</w:t>
      </w:r>
      <w:r w:rsidR="00344981">
        <w:rPr>
          <w:rFonts w:ascii="Times New Roman" w:hAnsi="Times New Roman" w:cs="Times New Roman"/>
          <w:sz w:val="24"/>
          <w:szCs w:val="24"/>
        </w:rPr>
        <w:t xml:space="preserve"> human associated life is not merely about means-ends or economic reasoning (instrumental rationality)</w:t>
      </w:r>
      <w:r w:rsidR="00706F95">
        <w:rPr>
          <w:rFonts w:ascii="Times New Roman" w:hAnsi="Times New Roman" w:cs="Times New Roman"/>
          <w:sz w:val="24"/>
          <w:szCs w:val="24"/>
        </w:rPr>
        <w:t xml:space="preserve"> necessary to generate economic resources</w:t>
      </w:r>
      <w:r w:rsidR="00344981">
        <w:rPr>
          <w:rFonts w:ascii="Times New Roman" w:hAnsi="Times New Roman" w:cs="Times New Roman"/>
          <w:sz w:val="24"/>
          <w:szCs w:val="24"/>
        </w:rPr>
        <w:t>, but necessarily also involves values/ethical</w:t>
      </w:r>
      <w:r w:rsidR="002223A0">
        <w:rPr>
          <w:rFonts w:ascii="Times New Roman" w:hAnsi="Times New Roman" w:cs="Times New Roman"/>
          <w:sz w:val="24"/>
          <w:szCs w:val="24"/>
        </w:rPr>
        <w:t>,</w:t>
      </w:r>
      <w:r w:rsidR="00344981">
        <w:rPr>
          <w:rFonts w:ascii="Times New Roman" w:hAnsi="Times New Roman" w:cs="Times New Roman"/>
          <w:sz w:val="24"/>
          <w:szCs w:val="24"/>
        </w:rPr>
        <w:t xml:space="preserve"> wellbeing reasoning (substantive rationality)</w:t>
      </w:r>
      <w:r w:rsidR="00706F95">
        <w:rPr>
          <w:rFonts w:ascii="Times New Roman" w:hAnsi="Times New Roman" w:cs="Times New Roman"/>
          <w:sz w:val="24"/>
          <w:szCs w:val="24"/>
        </w:rPr>
        <w:t xml:space="preserve"> that enables people to determine </w:t>
      </w:r>
      <w:r w:rsidR="002F4BA0">
        <w:rPr>
          <w:rFonts w:ascii="Times New Roman" w:hAnsi="Times New Roman" w:cs="Times New Roman"/>
          <w:sz w:val="24"/>
          <w:szCs w:val="24"/>
        </w:rPr>
        <w:t xml:space="preserve">not only </w:t>
      </w:r>
      <w:r w:rsidR="00706F95">
        <w:rPr>
          <w:rFonts w:ascii="Times New Roman" w:hAnsi="Times New Roman" w:cs="Times New Roman"/>
          <w:sz w:val="24"/>
          <w:szCs w:val="24"/>
        </w:rPr>
        <w:t xml:space="preserve">for what the economic resources will be used </w:t>
      </w:r>
      <w:r w:rsidR="002F4BA0">
        <w:rPr>
          <w:rFonts w:ascii="Times New Roman" w:hAnsi="Times New Roman" w:cs="Times New Roman"/>
          <w:sz w:val="24"/>
          <w:szCs w:val="24"/>
        </w:rPr>
        <w:t>but also</w:t>
      </w:r>
      <w:r w:rsidR="00706F95">
        <w:rPr>
          <w:rFonts w:ascii="Times New Roman" w:hAnsi="Times New Roman" w:cs="Times New Roman"/>
          <w:sz w:val="24"/>
          <w:szCs w:val="24"/>
        </w:rPr>
        <w:t xml:space="preserve"> why.</w:t>
      </w:r>
      <w:r w:rsidR="00344981">
        <w:rPr>
          <w:rFonts w:ascii="Times New Roman" w:hAnsi="Times New Roman" w:cs="Times New Roman"/>
          <w:sz w:val="24"/>
          <w:szCs w:val="24"/>
        </w:rPr>
        <w:t xml:space="preserve"> </w:t>
      </w:r>
      <w:r w:rsidR="00B809C4">
        <w:rPr>
          <w:rFonts w:ascii="Times New Roman" w:hAnsi="Times New Roman" w:cs="Times New Roman"/>
          <w:sz w:val="24"/>
          <w:szCs w:val="24"/>
        </w:rPr>
        <w:t>(1)</w:t>
      </w:r>
    </w:p>
    <w:p w14:paraId="67CE7AE4" w14:textId="77777777" w:rsidR="00F337D1" w:rsidRDefault="00F337D1" w:rsidP="00C50769">
      <w:pPr>
        <w:spacing w:after="0" w:line="240" w:lineRule="auto"/>
        <w:jc w:val="both"/>
        <w:rPr>
          <w:rFonts w:ascii="Times New Roman" w:hAnsi="Times New Roman" w:cs="Times New Roman"/>
          <w:sz w:val="24"/>
          <w:szCs w:val="24"/>
        </w:rPr>
      </w:pPr>
    </w:p>
    <w:p w14:paraId="6D7C417A" w14:textId="58E3F1B0" w:rsidR="00F337D1" w:rsidRDefault="009A53B3" w:rsidP="00C50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what follows, I argue</w:t>
      </w:r>
      <w:r w:rsidR="00204EA3">
        <w:rPr>
          <w:rFonts w:ascii="Times New Roman" w:hAnsi="Times New Roman" w:cs="Times New Roman"/>
          <w:sz w:val="24"/>
          <w:szCs w:val="24"/>
        </w:rPr>
        <w:t xml:space="preserve"> that fulfilling</w:t>
      </w:r>
      <w:r w:rsidR="00C50769">
        <w:rPr>
          <w:rFonts w:ascii="Times New Roman" w:hAnsi="Times New Roman" w:cs="Times New Roman"/>
          <w:sz w:val="24"/>
          <w:szCs w:val="24"/>
        </w:rPr>
        <w:t xml:space="preserve"> this quest</w:t>
      </w:r>
      <w:r w:rsidR="00F337D1">
        <w:rPr>
          <w:rFonts w:ascii="Times New Roman" w:hAnsi="Times New Roman" w:cs="Times New Roman"/>
          <w:sz w:val="24"/>
          <w:szCs w:val="24"/>
        </w:rPr>
        <w:t xml:space="preserve"> </w:t>
      </w:r>
      <w:r w:rsidR="00A10436">
        <w:rPr>
          <w:rFonts w:ascii="Times New Roman" w:hAnsi="Times New Roman" w:cs="Times New Roman"/>
          <w:sz w:val="24"/>
          <w:szCs w:val="24"/>
        </w:rPr>
        <w:t>requires a way to understand societies that goes beyond only economic thinking and that provides a context that accommodates a multidimensional notion of citizen wellbeing. T</w:t>
      </w:r>
      <w:r w:rsidR="00F337D1">
        <w:rPr>
          <w:rFonts w:ascii="Times New Roman" w:hAnsi="Times New Roman" w:cs="Times New Roman"/>
          <w:sz w:val="24"/>
          <w:szCs w:val="24"/>
        </w:rPr>
        <w:t xml:space="preserve">he Para-economic Paradigm put forth by Alberto Guerreiro Ramos in his book </w:t>
      </w:r>
      <w:r w:rsidR="00F337D1" w:rsidRPr="00667061">
        <w:rPr>
          <w:rFonts w:ascii="Times New Roman" w:hAnsi="Times New Roman" w:cs="Times New Roman"/>
          <w:sz w:val="24"/>
          <w:szCs w:val="24"/>
          <w:u w:val="single"/>
        </w:rPr>
        <w:t xml:space="preserve">The New Science of </w:t>
      </w:r>
      <w:r w:rsidR="00611F83">
        <w:rPr>
          <w:rFonts w:ascii="Times New Roman" w:hAnsi="Times New Roman" w:cs="Times New Roman"/>
          <w:sz w:val="24"/>
          <w:szCs w:val="24"/>
          <w:u w:val="single"/>
        </w:rPr>
        <w:t>Organizations</w:t>
      </w:r>
      <w:r w:rsidR="00F337D1" w:rsidRPr="00667061">
        <w:rPr>
          <w:rFonts w:ascii="Times New Roman" w:hAnsi="Times New Roman" w:cs="Times New Roman"/>
          <w:sz w:val="24"/>
          <w:szCs w:val="24"/>
          <w:u w:val="single"/>
        </w:rPr>
        <w:t>: A</w:t>
      </w:r>
      <w:r w:rsidR="00F337D1" w:rsidRPr="00611F83">
        <w:rPr>
          <w:rFonts w:ascii="Times New Roman" w:hAnsi="Times New Roman" w:cs="Times New Roman"/>
          <w:sz w:val="24"/>
          <w:szCs w:val="24"/>
          <w:u w:val="single"/>
        </w:rPr>
        <w:t xml:space="preserve"> </w:t>
      </w:r>
      <w:r w:rsidR="00F337D1" w:rsidRPr="00667061">
        <w:rPr>
          <w:rFonts w:ascii="Times New Roman" w:hAnsi="Times New Roman" w:cs="Times New Roman"/>
          <w:sz w:val="24"/>
          <w:szCs w:val="24"/>
          <w:u w:val="single"/>
        </w:rPr>
        <w:t>Reconceptualization of the Wealth of Nations</w:t>
      </w:r>
      <w:r w:rsidR="00A10436">
        <w:rPr>
          <w:rFonts w:ascii="Times New Roman" w:hAnsi="Times New Roman" w:cs="Times New Roman"/>
          <w:sz w:val="24"/>
          <w:szCs w:val="24"/>
          <w:u w:val="single"/>
        </w:rPr>
        <w:t xml:space="preserve"> </w:t>
      </w:r>
      <w:r w:rsidR="00A10436" w:rsidRPr="00204EA3">
        <w:rPr>
          <w:rFonts w:ascii="Times New Roman" w:hAnsi="Times New Roman" w:cs="Times New Roman"/>
          <w:sz w:val="24"/>
          <w:szCs w:val="24"/>
        </w:rPr>
        <w:t xml:space="preserve">provides </w:t>
      </w:r>
      <w:r w:rsidR="00611F83">
        <w:rPr>
          <w:rFonts w:ascii="Times New Roman" w:hAnsi="Times New Roman" w:cs="Times New Roman"/>
          <w:sz w:val="24"/>
          <w:szCs w:val="24"/>
        </w:rPr>
        <w:t>just such a</w:t>
      </w:r>
      <w:r w:rsidR="00A10436" w:rsidRPr="00204EA3">
        <w:rPr>
          <w:rFonts w:ascii="Times New Roman" w:hAnsi="Times New Roman" w:cs="Times New Roman"/>
          <w:sz w:val="24"/>
          <w:szCs w:val="24"/>
        </w:rPr>
        <w:t xml:space="preserve"> context</w:t>
      </w:r>
      <w:r w:rsidR="00F337D1">
        <w:rPr>
          <w:rFonts w:ascii="Times New Roman" w:hAnsi="Times New Roman" w:cs="Times New Roman"/>
          <w:sz w:val="24"/>
          <w:szCs w:val="24"/>
        </w:rPr>
        <w:t xml:space="preserve">. </w:t>
      </w:r>
      <w:r w:rsidR="00204EA3">
        <w:rPr>
          <w:rFonts w:ascii="Times New Roman" w:hAnsi="Times New Roman" w:cs="Times New Roman"/>
          <w:sz w:val="24"/>
          <w:szCs w:val="24"/>
        </w:rPr>
        <w:t xml:space="preserve">Specifically, </w:t>
      </w:r>
      <w:r w:rsidR="00F337D1">
        <w:rPr>
          <w:rFonts w:ascii="Times New Roman" w:hAnsi="Times New Roman" w:cs="Times New Roman"/>
          <w:sz w:val="24"/>
          <w:szCs w:val="24"/>
        </w:rPr>
        <w:t xml:space="preserve">I argue that the Para-economic Paradigm </w:t>
      </w:r>
      <w:r w:rsidR="00A10436">
        <w:rPr>
          <w:rFonts w:ascii="Times New Roman" w:hAnsi="Times New Roman" w:cs="Times New Roman"/>
          <w:sz w:val="24"/>
          <w:szCs w:val="24"/>
        </w:rPr>
        <w:t>which provides a defined multidime</w:t>
      </w:r>
      <w:r w:rsidR="00611F83">
        <w:rPr>
          <w:rFonts w:ascii="Times New Roman" w:hAnsi="Times New Roman" w:cs="Times New Roman"/>
          <w:sz w:val="24"/>
          <w:szCs w:val="24"/>
        </w:rPr>
        <w:t>n</w:t>
      </w:r>
      <w:r w:rsidR="00A10436">
        <w:rPr>
          <w:rFonts w:ascii="Times New Roman" w:hAnsi="Times New Roman" w:cs="Times New Roman"/>
          <w:sz w:val="24"/>
          <w:szCs w:val="24"/>
        </w:rPr>
        <w:t>sional view of societies makes possible</w:t>
      </w:r>
      <w:r w:rsidR="00706F95">
        <w:rPr>
          <w:rFonts w:ascii="Times New Roman" w:hAnsi="Times New Roman" w:cs="Times New Roman"/>
          <w:sz w:val="24"/>
          <w:szCs w:val="24"/>
        </w:rPr>
        <w:t xml:space="preserve"> and legitimatizes values/ethical or wellbeing reasoning in public policy decision making. In this way, it also provides</w:t>
      </w:r>
      <w:r w:rsidR="00F337D1">
        <w:rPr>
          <w:rFonts w:ascii="Times New Roman" w:hAnsi="Times New Roman" w:cs="Times New Roman"/>
          <w:sz w:val="24"/>
          <w:szCs w:val="24"/>
        </w:rPr>
        <w:t xml:space="preserve"> a new “lens” through which </w:t>
      </w:r>
      <w:r w:rsidR="00667061">
        <w:rPr>
          <w:rFonts w:ascii="Times New Roman" w:hAnsi="Times New Roman" w:cs="Times New Roman"/>
          <w:sz w:val="24"/>
          <w:szCs w:val="24"/>
        </w:rPr>
        <w:t xml:space="preserve">emerging </w:t>
      </w:r>
      <w:r w:rsidR="00F337D1">
        <w:rPr>
          <w:rFonts w:ascii="Times New Roman" w:hAnsi="Times New Roman" w:cs="Times New Roman"/>
          <w:sz w:val="24"/>
          <w:szCs w:val="24"/>
        </w:rPr>
        <w:t xml:space="preserve">major issues </w:t>
      </w:r>
      <w:r w:rsidR="00667061">
        <w:rPr>
          <w:rFonts w:ascii="Times New Roman" w:hAnsi="Times New Roman" w:cs="Times New Roman"/>
          <w:sz w:val="24"/>
          <w:szCs w:val="24"/>
        </w:rPr>
        <w:t xml:space="preserve">that will </w:t>
      </w:r>
      <w:r w:rsidR="00706F95">
        <w:rPr>
          <w:rFonts w:ascii="Times New Roman" w:hAnsi="Times New Roman" w:cs="Times New Roman"/>
          <w:sz w:val="24"/>
          <w:szCs w:val="24"/>
        </w:rPr>
        <w:t xml:space="preserve">soon </w:t>
      </w:r>
      <w:r w:rsidR="00F337D1">
        <w:rPr>
          <w:rFonts w:ascii="Times New Roman" w:hAnsi="Times New Roman" w:cs="Times New Roman"/>
          <w:sz w:val="24"/>
          <w:szCs w:val="24"/>
        </w:rPr>
        <w:t xml:space="preserve">confront public administrators and the field of Public Administration can be </w:t>
      </w:r>
      <w:r w:rsidR="002223A0">
        <w:rPr>
          <w:rFonts w:ascii="Times New Roman" w:hAnsi="Times New Roman" w:cs="Times New Roman"/>
          <w:sz w:val="24"/>
          <w:szCs w:val="24"/>
        </w:rPr>
        <w:t xml:space="preserve">newly </w:t>
      </w:r>
      <w:r w:rsidR="00F337D1">
        <w:rPr>
          <w:rFonts w:ascii="Times New Roman" w:hAnsi="Times New Roman" w:cs="Times New Roman"/>
          <w:sz w:val="24"/>
          <w:szCs w:val="24"/>
        </w:rPr>
        <w:t xml:space="preserve">examined to identify </w:t>
      </w:r>
      <w:r w:rsidR="002223A0">
        <w:rPr>
          <w:rFonts w:ascii="Times New Roman" w:hAnsi="Times New Roman" w:cs="Times New Roman"/>
          <w:sz w:val="24"/>
          <w:szCs w:val="24"/>
        </w:rPr>
        <w:t>public policy</w:t>
      </w:r>
      <w:r w:rsidR="00F337D1">
        <w:rPr>
          <w:rFonts w:ascii="Times New Roman" w:hAnsi="Times New Roman" w:cs="Times New Roman"/>
          <w:sz w:val="24"/>
          <w:szCs w:val="24"/>
        </w:rPr>
        <w:t xml:space="preserve"> </w:t>
      </w:r>
      <w:r w:rsidR="00667061">
        <w:rPr>
          <w:rFonts w:ascii="Times New Roman" w:hAnsi="Times New Roman" w:cs="Times New Roman"/>
          <w:sz w:val="24"/>
          <w:szCs w:val="24"/>
        </w:rPr>
        <w:t>possibilities</w:t>
      </w:r>
      <w:r w:rsidR="00F337D1">
        <w:rPr>
          <w:rFonts w:ascii="Times New Roman" w:hAnsi="Times New Roman" w:cs="Times New Roman"/>
          <w:sz w:val="24"/>
          <w:szCs w:val="24"/>
        </w:rPr>
        <w:t xml:space="preserve"> which </w:t>
      </w:r>
      <w:r w:rsidR="00204EA3">
        <w:rPr>
          <w:rFonts w:ascii="Times New Roman" w:hAnsi="Times New Roman" w:cs="Times New Roman"/>
          <w:sz w:val="24"/>
          <w:szCs w:val="24"/>
        </w:rPr>
        <w:t xml:space="preserve">so far </w:t>
      </w:r>
      <w:r w:rsidR="00F337D1">
        <w:rPr>
          <w:rFonts w:ascii="Times New Roman" w:hAnsi="Times New Roman" w:cs="Times New Roman"/>
          <w:sz w:val="24"/>
          <w:szCs w:val="24"/>
        </w:rPr>
        <w:t xml:space="preserve">have not been seen </w:t>
      </w:r>
      <w:r w:rsidR="00611F83">
        <w:rPr>
          <w:rFonts w:ascii="Times New Roman" w:hAnsi="Times New Roman" w:cs="Times New Roman"/>
          <w:sz w:val="24"/>
          <w:szCs w:val="24"/>
        </w:rPr>
        <w:t xml:space="preserve">or are seen as not </w:t>
      </w:r>
      <w:r w:rsidR="00204EA3">
        <w:rPr>
          <w:rFonts w:ascii="Times New Roman" w:hAnsi="Times New Roman" w:cs="Times New Roman"/>
          <w:sz w:val="24"/>
          <w:szCs w:val="24"/>
        </w:rPr>
        <w:t xml:space="preserve">being practical </w:t>
      </w:r>
      <w:r w:rsidR="00F337D1">
        <w:rPr>
          <w:rFonts w:ascii="Times New Roman" w:hAnsi="Times New Roman" w:cs="Times New Roman"/>
          <w:sz w:val="24"/>
          <w:szCs w:val="24"/>
        </w:rPr>
        <w:t>using the</w:t>
      </w:r>
      <w:r w:rsidR="00667061">
        <w:rPr>
          <w:rFonts w:ascii="Times New Roman" w:hAnsi="Times New Roman" w:cs="Times New Roman"/>
          <w:sz w:val="24"/>
          <w:szCs w:val="24"/>
        </w:rPr>
        <w:t xml:space="preserve"> traditional</w:t>
      </w:r>
      <w:r w:rsidR="00F337D1">
        <w:rPr>
          <w:rFonts w:ascii="Times New Roman" w:hAnsi="Times New Roman" w:cs="Times New Roman"/>
          <w:sz w:val="24"/>
          <w:szCs w:val="24"/>
        </w:rPr>
        <w:t xml:space="preserve"> “lens” o</w:t>
      </w:r>
      <w:r w:rsidR="002223A0">
        <w:rPr>
          <w:rFonts w:ascii="Times New Roman" w:hAnsi="Times New Roman" w:cs="Times New Roman"/>
          <w:sz w:val="24"/>
          <w:szCs w:val="24"/>
        </w:rPr>
        <w:t xml:space="preserve">f </w:t>
      </w:r>
      <w:r w:rsidR="00706F95">
        <w:rPr>
          <w:rFonts w:ascii="Times New Roman" w:hAnsi="Times New Roman" w:cs="Times New Roman"/>
          <w:sz w:val="24"/>
          <w:szCs w:val="24"/>
        </w:rPr>
        <w:t>means-end</w:t>
      </w:r>
      <w:r w:rsidR="00EE04E9">
        <w:rPr>
          <w:rFonts w:ascii="Times New Roman" w:hAnsi="Times New Roman" w:cs="Times New Roman"/>
          <w:sz w:val="24"/>
          <w:szCs w:val="24"/>
        </w:rPr>
        <w:t xml:space="preserve">, </w:t>
      </w:r>
      <w:r w:rsidR="002223A0">
        <w:rPr>
          <w:rFonts w:ascii="Times New Roman" w:hAnsi="Times New Roman" w:cs="Times New Roman"/>
          <w:sz w:val="24"/>
          <w:szCs w:val="24"/>
        </w:rPr>
        <w:t xml:space="preserve">economic </w:t>
      </w:r>
      <w:r w:rsidR="00706F95">
        <w:rPr>
          <w:rFonts w:ascii="Times New Roman" w:hAnsi="Times New Roman" w:cs="Times New Roman"/>
          <w:sz w:val="24"/>
          <w:szCs w:val="24"/>
        </w:rPr>
        <w:t>reasoning.</w:t>
      </w:r>
      <w:r w:rsidR="00F337D1">
        <w:rPr>
          <w:rFonts w:ascii="Times New Roman" w:hAnsi="Times New Roman" w:cs="Times New Roman"/>
          <w:sz w:val="24"/>
          <w:szCs w:val="24"/>
        </w:rPr>
        <w:t xml:space="preserve"> </w:t>
      </w:r>
      <w:r w:rsidR="00EE04E9">
        <w:rPr>
          <w:rFonts w:ascii="Times New Roman" w:hAnsi="Times New Roman" w:cs="Times New Roman"/>
          <w:sz w:val="24"/>
          <w:szCs w:val="24"/>
        </w:rPr>
        <w:t>(2)</w:t>
      </w:r>
    </w:p>
    <w:p w14:paraId="4A1F09D8" w14:textId="77777777" w:rsidR="00F337D1" w:rsidRDefault="00F337D1" w:rsidP="00C50769">
      <w:pPr>
        <w:spacing w:after="0" w:line="240" w:lineRule="auto"/>
        <w:jc w:val="both"/>
        <w:rPr>
          <w:rFonts w:ascii="Times New Roman" w:hAnsi="Times New Roman" w:cs="Times New Roman"/>
          <w:sz w:val="24"/>
          <w:szCs w:val="24"/>
        </w:rPr>
      </w:pPr>
    </w:p>
    <w:p w14:paraId="1901FA84" w14:textId="4ACDFD8E" w:rsidR="00B73D7A" w:rsidRDefault="00706F95" w:rsidP="008A3C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7151AC">
        <w:rPr>
          <w:rFonts w:ascii="Times New Roman" w:hAnsi="Times New Roman" w:cs="Times New Roman"/>
          <w:sz w:val="24"/>
          <w:szCs w:val="24"/>
        </w:rPr>
        <w:t>present</w:t>
      </w:r>
      <w:r>
        <w:rPr>
          <w:rFonts w:ascii="Times New Roman" w:hAnsi="Times New Roman" w:cs="Times New Roman"/>
          <w:sz w:val="24"/>
          <w:szCs w:val="24"/>
        </w:rPr>
        <w:t xml:space="preserve"> my argument</w:t>
      </w:r>
      <w:r w:rsidR="00F337D1">
        <w:rPr>
          <w:rFonts w:ascii="Times New Roman" w:hAnsi="Times New Roman" w:cs="Times New Roman"/>
          <w:sz w:val="24"/>
          <w:szCs w:val="24"/>
        </w:rPr>
        <w:t xml:space="preserve">, I </w:t>
      </w:r>
      <w:r w:rsidR="00B73D7A">
        <w:rPr>
          <w:rFonts w:ascii="Times New Roman" w:hAnsi="Times New Roman" w:cs="Times New Roman"/>
          <w:sz w:val="24"/>
          <w:szCs w:val="24"/>
        </w:rPr>
        <w:t xml:space="preserve">briefly look at how the Para-economic Paradigm can open up new </w:t>
      </w:r>
      <w:r w:rsidR="00EE04E9">
        <w:rPr>
          <w:rFonts w:ascii="Times New Roman" w:hAnsi="Times New Roman" w:cs="Times New Roman"/>
          <w:sz w:val="24"/>
          <w:szCs w:val="24"/>
        </w:rPr>
        <w:t xml:space="preserve">public policy </w:t>
      </w:r>
      <w:r w:rsidR="00B73D7A">
        <w:rPr>
          <w:rFonts w:ascii="Times New Roman" w:hAnsi="Times New Roman" w:cs="Times New Roman"/>
          <w:sz w:val="24"/>
          <w:szCs w:val="24"/>
        </w:rPr>
        <w:t xml:space="preserve">possibilities for adapting society and its institutions to deal effectively with the future </w:t>
      </w:r>
      <w:r w:rsidR="00B73D7A">
        <w:rPr>
          <w:rFonts w:ascii="Times New Roman" w:hAnsi="Times New Roman" w:cs="Times New Roman"/>
          <w:sz w:val="24"/>
          <w:szCs w:val="24"/>
        </w:rPr>
        <w:lastRenderedPageBreak/>
        <w:t xml:space="preserve">of </w:t>
      </w:r>
      <w:r w:rsidR="004C2389">
        <w:rPr>
          <w:rFonts w:ascii="Times New Roman" w:hAnsi="Times New Roman" w:cs="Times New Roman"/>
          <w:sz w:val="24"/>
          <w:szCs w:val="24"/>
        </w:rPr>
        <w:t>productive effort</w:t>
      </w:r>
      <w:r w:rsidR="00B73D7A">
        <w:rPr>
          <w:rFonts w:ascii="Times New Roman" w:hAnsi="Times New Roman" w:cs="Times New Roman"/>
          <w:sz w:val="24"/>
          <w:szCs w:val="24"/>
        </w:rPr>
        <w:t xml:space="preserve">, and for adapting local government budget processes to </w:t>
      </w:r>
      <w:r w:rsidR="00EE04E9">
        <w:rPr>
          <w:rFonts w:ascii="Times New Roman" w:hAnsi="Times New Roman" w:cs="Times New Roman"/>
          <w:sz w:val="24"/>
          <w:szCs w:val="24"/>
        </w:rPr>
        <w:t>include</w:t>
      </w:r>
      <w:r w:rsidR="00B73D7A">
        <w:rPr>
          <w:rFonts w:ascii="Times New Roman" w:hAnsi="Times New Roman" w:cs="Times New Roman"/>
          <w:sz w:val="24"/>
          <w:szCs w:val="24"/>
        </w:rPr>
        <w:t xml:space="preserve"> the concept of wellbeing in </w:t>
      </w:r>
      <w:r w:rsidR="00EE04E9">
        <w:rPr>
          <w:rFonts w:ascii="Times New Roman" w:hAnsi="Times New Roman" w:cs="Times New Roman"/>
          <w:sz w:val="24"/>
          <w:szCs w:val="24"/>
        </w:rPr>
        <w:t>resource allocation decisions</w:t>
      </w:r>
      <w:r w:rsidR="00B73D7A">
        <w:rPr>
          <w:rFonts w:ascii="Times New Roman" w:hAnsi="Times New Roman" w:cs="Times New Roman"/>
          <w:sz w:val="24"/>
          <w:szCs w:val="24"/>
        </w:rPr>
        <w:t>.</w:t>
      </w:r>
    </w:p>
    <w:p w14:paraId="5F35796C" w14:textId="3D49DD8D" w:rsidR="00A22522" w:rsidRDefault="00B73D7A" w:rsidP="008A3C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My argument </w:t>
      </w:r>
      <w:r w:rsidR="00667061">
        <w:rPr>
          <w:rFonts w:ascii="Times New Roman" w:hAnsi="Times New Roman" w:cs="Times New Roman"/>
          <w:sz w:val="24"/>
          <w:szCs w:val="24"/>
        </w:rPr>
        <w:t>springs</w:t>
      </w:r>
      <w:r>
        <w:rPr>
          <w:rFonts w:ascii="Times New Roman" w:hAnsi="Times New Roman" w:cs="Times New Roman"/>
          <w:sz w:val="24"/>
          <w:szCs w:val="24"/>
        </w:rPr>
        <w:t xml:space="preserve"> from the perspective</w:t>
      </w:r>
      <w:r w:rsidR="00667061">
        <w:rPr>
          <w:rFonts w:ascii="Times New Roman" w:hAnsi="Times New Roman" w:cs="Times New Roman"/>
          <w:sz w:val="24"/>
          <w:szCs w:val="24"/>
        </w:rPr>
        <w:t>s</w:t>
      </w:r>
      <w:r>
        <w:rPr>
          <w:rFonts w:ascii="Times New Roman" w:hAnsi="Times New Roman" w:cs="Times New Roman"/>
          <w:sz w:val="24"/>
          <w:szCs w:val="24"/>
        </w:rPr>
        <w:t xml:space="preserve"> of </w:t>
      </w:r>
      <w:r w:rsidR="00667061">
        <w:rPr>
          <w:rFonts w:ascii="Times New Roman" w:hAnsi="Times New Roman" w:cs="Times New Roman"/>
          <w:sz w:val="24"/>
          <w:szCs w:val="24"/>
        </w:rPr>
        <w:t xml:space="preserve">having been </w:t>
      </w:r>
      <w:r>
        <w:rPr>
          <w:rFonts w:ascii="Times New Roman" w:hAnsi="Times New Roman" w:cs="Times New Roman"/>
          <w:sz w:val="24"/>
          <w:szCs w:val="24"/>
        </w:rPr>
        <w:t xml:space="preserve">a public administration </w:t>
      </w:r>
      <w:r w:rsidR="008A3CA5">
        <w:rPr>
          <w:rFonts w:ascii="Times New Roman" w:hAnsi="Times New Roman" w:cs="Times New Roman"/>
          <w:sz w:val="24"/>
          <w:szCs w:val="24"/>
        </w:rPr>
        <w:t>practitioner</w:t>
      </w:r>
      <w:r>
        <w:rPr>
          <w:rFonts w:ascii="Times New Roman" w:hAnsi="Times New Roman" w:cs="Times New Roman"/>
          <w:sz w:val="24"/>
          <w:szCs w:val="24"/>
        </w:rPr>
        <w:t xml:space="preserve"> for almost 40 years</w:t>
      </w:r>
      <w:r w:rsidR="00667061">
        <w:rPr>
          <w:rFonts w:ascii="Times New Roman" w:hAnsi="Times New Roman" w:cs="Times New Roman"/>
          <w:sz w:val="24"/>
          <w:szCs w:val="24"/>
        </w:rPr>
        <w:t>,</w:t>
      </w:r>
      <w:r>
        <w:rPr>
          <w:rFonts w:ascii="Times New Roman" w:hAnsi="Times New Roman" w:cs="Times New Roman"/>
          <w:sz w:val="24"/>
          <w:szCs w:val="24"/>
        </w:rPr>
        <w:t xml:space="preserve"> and a lecturer </w:t>
      </w:r>
      <w:r w:rsidR="00204EA3">
        <w:rPr>
          <w:rFonts w:ascii="Times New Roman" w:hAnsi="Times New Roman" w:cs="Times New Roman"/>
          <w:sz w:val="24"/>
          <w:szCs w:val="24"/>
        </w:rPr>
        <w:t xml:space="preserve">to graduate students </w:t>
      </w:r>
      <w:r>
        <w:rPr>
          <w:rFonts w:ascii="Times New Roman" w:hAnsi="Times New Roman" w:cs="Times New Roman"/>
          <w:sz w:val="24"/>
          <w:szCs w:val="24"/>
        </w:rPr>
        <w:t>teaching public budgeting and fina</w:t>
      </w:r>
      <w:r w:rsidR="008A3CA5">
        <w:rPr>
          <w:rFonts w:ascii="Times New Roman" w:hAnsi="Times New Roman" w:cs="Times New Roman"/>
          <w:sz w:val="24"/>
          <w:szCs w:val="24"/>
        </w:rPr>
        <w:t xml:space="preserve">nce for almost 15 years. </w:t>
      </w:r>
    </w:p>
    <w:p w14:paraId="79B1C48A" w14:textId="37E4CCEE" w:rsidR="00667061" w:rsidRDefault="00667061" w:rsidP="008A3C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Finally, this paper is intended to </w:t>
      </w:r>
      <w:r w:rsidR="00EE04E9">
        <w:rPr>
          <w:rFonts w:ascii="Times New Roman" w:hAnsi="Times New Roman" w:cs="Times New Roman"/>
          <w:sz w:val="24"/>
          <w:szCs w:val="24"/>
        </w:rPr>
        <w:t xml:space="preserve">be a thought piece which will </w:t>
      </w:r>
      <w:r>
        <w:rPr>
          <w:rFonts w:ascii="Times New Roman" w:hAnsi="Times New Roman" w:cs="Times New Roman"/>
          <w:sz w:val="24"/>
          <w:szCs w:val="24"/>
        </w:rPr>
        <w:t>provoke discussion</w:t>
      </w:r>
      <w:r w:rsidR="00B40134">
        <w:rPr>
          <w:rFonts w:ascii="Times New Roman" w:hAnsi="Times New Roman" w:cs="Times New Roman"/>
          <w:sz w:val="24"/>
          <w:szCs w:val="24"/>
        </w:rPr>
        <w:t xml:space="preserve"> and debate</w:t>
      </w:r>
      <w:r>
        <w:rPr>
          <w:rFonts w:ascii="Times New Roman" w:hAnsi="Times New Roman" w:cs="Times New Roman"/>
          <w:sz w:val="24"/>
          <w:szCs w:val="24"/>
        </w:rPr>
        <w:t>, and</w:t>
      </w:r>
      <w:r w:rsidR="00EE04E9">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00EE04E9">
        <w:rPr>
          <w:rFonts w:ascii="Times New Roman" w:hAnsi="Times New Roman" w:cs="Times New Roman"/>
          <w:sz w:val="24"/>
          <w:szCs w:val="24"/>
        </w:rPr>
        <w:t xml:space="preserve">it </w:t>
      </w:r>
      <w:r>
        <w:rPr>
          <w:rFonts w:ascii="Times New Roman" w:hAnsi="Times New Roman" w:cs="Times New Roman"/>
          <w:sz w:val="24"/>
          <w:szCs w:val="24"/>
        </w:rPr>
        <w:t>should be considered a starting point</w:t>
      </w:r>
      <w:r w:rsidR="00EE04E9">
        <w:rPr>
          <w:rFonts w:ascii="Times New Roman" w:hAnsi="Times New Roman" w:cs="Times New Roman"/>
          <w:sz w:val="24"/>
          <w:szCs w:val="24"/>
        </w:rPr>
        <w:t xml:space="preserve"> for a much broader and in-depth future inquiry.</w:t>
      </w:r>
    </w:p>
    <w:p w14:paraId="0453194D" w14:textId="44757291" w:rsidR="00C056E6" w:rsidRDefault="00C056E6" w:rsidP="00C056E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The Para-economic Paradigm</w:t>
      </w:r>
    </w:p>
    <w:p w14:paraId="68B90449" w14:textId="1CE64CAC" w:rsidR="00C056E6" w:rsidRDefault="00C056E6" w:rsidP="00C056E6">
      <w:pPr>
        <w:spacing w:after="0" w:line="240" w:lineRule="auto"/>
        <w:jc w:val="both"/>
        <w:rPr>
          <w:rFonts w:ascii="Times New Roman" w:hAnsi="Times New Roman" w:cs="Times New Roman"/>
          <w:b/>
          <w:sz w:val="24"/>
          <w:szCs w:val="24"/>
          <w:u w:val="single"/>
        </w:rPr>
      </w:pPr>
    </w:p>
    <w:p w14:paraId="15F334CA" w14:textId="455C09F3" w:rsidR="0073305B" w:rsidRDefault="0073305B" w:rsidP="0073305B">
      <w:pPr>
        <w:spacing w:line="240" w:lineRule="auto"/>
        <w:ind w:left="720"/>
        <w:jc w:val="both"/>
        <w:rPr>
          <w:rFonts w:ascii="Times New Roman" w:eastAsiaTheme="minorEastAsia" w:hAnsi="Times New Roman" w:cs="Times New Roman"/>
          <w:i/>
          <w:sz w:val="20"/>
          <w:szCs w:val="20"/>
        </w:rPr>
      </w:pPr>
      <w:r w:rsidRPr="0073305B">
        <w:rPr>
          <w:rFonts w:eastAsiaTheme="minorEastAsia"/>
        </w:rPr>
        <w:t>“</w:t>
      </w:r>
      <w:r w:rsidRPr="0073305B">
        <w:rPr>
          <w:rFonts w:ascii="Times New Roman" w:eastAsiaTheme="minorEastAsia" w:hAnsi="Times New Roman" w:cs="Times New Roman"/>
          <w:i/>
          <w:sz w:val="20"/>
          <w:szCs w:val="20"/>
        </w:rPr>
        <w:t>In this book I set forth the conceptual framework for a new science of organizations. My objective is to contrast a</w:t>
      </w:r>
      <w:r w:rsidR="00844127">
        <w:rPr>
          <w:rFonts w:ascii="Times New Roman" w:eastAsiaTheme="minorEastAsia" w:hAnsi="Times New Roman" w:cs="Times New Roman"/>
          <w:i/>
          <w:sz w:val="20"/>
          <w:szCs w:val="20"/>
        </w:rPr>
        <w:t xml:space="preserve"> …[multidimensional]</w:t>
      </w:r>
      <w:r w:rsidRPr="0073305B">
        <w:rPr>
          <w:rFonts w:ascii="Times New Roman" w:eastAsiaTheme="minorEastAsia" w:hAnsi="Times New Roman" w:cs="Times New Roman"/>
          <w:i/>
          <w:sz w:val="20"/>
          <w:szCs w:val="20"/>
        </w:rPr>
        <w:t xml:space="preserve"> model of social systems analysis and organizational design with the current market-centered model which has dominated private enterprises and public agencies for the last eighty years. Generally, I argue that a market-centered theory of organizations is applicable not to all, but only to a special type of activity. Attempts to apply its principles to all forms of activity are hindering the actualization of possible new social systems needed to overcome the basic dilemmas of our society……I suggest that the manner in which the dominant model is taught is deceptive and has disastrous consequences since the limits of its functional character are not acknowledged.”</w:t>
      </w:r>
      <w:r w:rsidR="00954FC8">
        <w:rPr>
          <w:rFonts w:ascii="Times New Roman" w:eastAsiaTheme="minorEastAsia" w:hAnsi="Times New Roman" w:cs="Times New Roman"/>
          <w:i/>
          <w:sz w:val="20"/>
          <w:szCs w:val="20"/>
        </w:rPr>
        <w:t xml:space="preserve"> (Ramos, </w:t>
      </w:r>
      <w:r w:rsidRPr="0073305B">
        <w:rPr>
          <w:rFonts w:ascii="Times New Roman" w:eastAsiaTheme="minorEastAsia" w:hAnsi="Times New Roman" w:cs="Times New Roman"/>
          <w:i/>
          <w:sz w:val="20"/>
          <w:szCs w:val="20"/>
        </w:rPr>
        <w:t>page IX)</w:t>
      </w:r>
    </w:p>
    <w:p w14:paraId="2C43D8F6" w14:textId="5AC83EC7" w:rsidR="00844127" w:rsidRDefault="00844127" w:rsidP="00844127">
      <w:pPr>
        <w:spacing w:after="0" w:line="240" w:lineRule="auto"/>
        <w:ind w:left="720"/>
        <w:jc w:val="both"/>
        <w:rPr>
          <w:rFonts w:ascii="Times New Roman" w:eastAsiaTheme="minorEastAsia" w:hAnsi="Times New Roman" w:cs="Times New Roman"/>
          <w:i/>
          <w:sz w:val="20"/>
          <w:szCs w:val="20"/>
        </w:rPr>
      </w:pPr>
      <w:r w:rsidRPr="00844127">
        <w:rPr>
          <w:rFonts w:ascii="Times New Roman" w:eastAsiaTheme="minorEastAsia" w:hAnsi="Times New Roman" w:cs="Times New Roman"/>
          <w:i/>
          <w:sz w:val="20"/>
          <w:szCs w:val="20"/>
        </w:rPr>
        <w:t>“Central to this multidimensional model is the notion of organizational delimitation. This notion implies (1) a view of society as constituted by a variety of enclaves (of which the market is but one) in which man engages in distinctly differing, yet truly integrative, types of substantive pursuits, and (2) a societal governance system able to formulate and implement allocative policies and decisions required for optimal transactions between those social enclaves.” (</w:t>
      </w:r>
      <w:r>
        <w:rPr>
          <w:rFonts w:ascii="Times New Roman" w:eastAsiaTheme="minorEastAsia" w:hAnsi="Times New Roman" w:cs="Times New Roman"/>
          <w:i/>
          <w:sz w:val="20"/>
          <w:szCs w:val="20"/>
        </w:rPr>
        <w:t xml:space="preserve">Ramos, </w:t>
      </w:r>
      <w:r w:rsidRPr="00844127">
        <w:rPr>
          <w:rFonts w:ascii="Times New Roman" w:eastAsiaTheme="minorEastAsia" w:hAnsi="Times New Roman" w:cs="Times New Roman"/>
          <w:i/>
          <w:sz w:val="20"/>
          <w:szCs w:val="20"/>
        </w:rPr>
        <w:t>page 121)</w:t>
      </w:r>
    </w:p>
    <w:p w14:paraId="4F1D4217" w14:textId="307D587A" w:rsidR="006B3B61" w:rsidRDefault="006B3B61" w:rsidP="00844127">
      <w:pPr>
        <w:spacing w:after="0" w:line="240" w:lineRule="auto"/>
        <w:ind w:left="720"/>
        <w:jc w:val="both"/>
        <w:rPr>
          <w:rFonts w:ascii="Times New Roman" w:eastAsiaTheme="minorEastAsia" w:hAnsi="Times New Roman" w:cs="Times New Roman"/>
          <w:i/>
          <w:sz w:val="20"/>
          <w:szCs w:val="20"/>
        </w:rPr>
      </w:pPr>
    </w:p>
    <w:p w14:paraId="53B81E48" w14:textId="091425D9" w:rsidR="006B3B61" w:rsidRDefault="006B3B61" w:rsidP="00844127">
      <w:pPr>
        <w:spacing w:after="0" w:line="240" w:lineRule="auto"/>
        <w:ind w:left="720"/>
        <w:jc w:val="both"/>
        <w:rPr>
          <w:rFonts w:ascii="Times New Roman" w:eastAsiaTheme="minorEastAsia" w:hAnsi="Times New Roman" w:cs="Times New Roman"/>
          <w:i/>
          <w:sz w:val="20"/>
          <w:szCs w:val="20"/>
        </w:rPr>
      </w:pPr>
      <w:r>
        <w:rPr>
          <w:rFonts w:ascii="Times New Roman" w:eastAsiaTheme="minorEastAsia" w:hAnsi="Times New Roman" w:cs="Times New Roman"/>
          <w:i/>
          <w:sz w:val="20"/>
          <w:szCs w:val="20"/>
        </w:rPr>
        <w:t>“The multicentric society is a deliberate undertaking. It implies design and implementation of a new kind of state empowered to formulate and enforce allocative policies supportive not only of market-oriented pursuits, but of social settings suited for personal actualization, convivial relationships, and community activities of citizens as well.” (Ramos, page 135)</w:t>
      </w:r>
    </w:p>
    <w:p w14:paraId="32E25CEC" w14:textId="3113A73F" w:rsidR="007E1A28" w:rsidRDefault="007E1A28" w:rsidP="00844127">
      <w:pPr>
        <w:spacing w:after="0" w:line="240" w:lineRule="auto"/>
        <w:ind w:left="720"/>
        <w:jc w:val="both"/>
        <w:rPr>
          <w:rFonts w:ascii="Times New Roman" w:eastAsiaTheme="minorEastAsia" w:hAnsi="Times New Roman" w:cs="Times New Roman"/>
          <w:i/>
          <w:sz w:val="20"/>
          <w:szCs w:val="20"/>
        </w:rPr>
      </w:pPr>
    </w:p>
    <w:p w14:paraId="5A03E9BC" w14:textId="77777777" w:rsidR="007E1A28" w:rsidRPr="00844127" w:rsidRDefault="007E1A28" w:rsidP="00844127">
      <w:pPr>
        <w:spacing w:after="0" w:line="240" w:lineRule="auto"/>
        <w:ind w:left="720"/>
        <w:jc w:val="both"/>
        <w:rPr>
          <w:rFonts w:ascii="Times New Roman" w:eastAsiaTheme="minorEastAsia" w:hAnsi="Times New Roman" w:cs="Times New Roman"/>
          <w:i/>
          <w:sz w:val="20"/>
          <w:szCs w:val="20"/>
        </w:rPr>
      </w:pPr>
    </w:p>
    <w:p w14:paraId="263597AD" w14:textId="58AC8300" w:rsidR="00A22522" w:rsidRDefault="007E1A28" w:rsidP="007E1A2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following diagram presents the Para-economic Paradigm. For a complete exposition of the paradigm and its dimensions and characteristics, see Chapter 7 of </w:t>
      </w:r>
      <w:r>
        <w:rPr>
          <w:rFonts w:ascii="Times New Roman" w:eastAsiaTheme="minorEastAsia" w:hAnsi="Times New Roman" w:cs="Times New Roman"/>
          <w:sz w:val="24"/>
          <w:szCs w:val="24"/>
          <w:u w:val="single"/>
        </w:rPr>
        <w:t>The New Science of Organizations: A Reconceptualization of the Wealth of Nations</w:t>
      </w:r>
      <w:r>
        <w:rPr>
          <w:rFonts w:ascii="Times New Roman" w:eastAsiaTheme="minorEastAsia" w:hAnsi="Times New Roman" w:cs="Times New Roman"/>
          <w:sz w:val="24"/>
          <w:szCs w:val="24"/>
        </w:rPr>
        <w:t xml:space="preserve">. (Ramos) </w:t>
      </w:r>
    </w:p>
    <w:p w14:paraId="227A438C" w14:textId="477E1AE0" w:rsidR="00672851" w:rsidRDefault="00672851" w:rsidP="00873A9C">
      <w:pPr>
        <w:pStyle w:val="ListParagraph"/>
        <w:ind w:left="0"/>
        <w:jc w:val="both"/>
        <w:rPr>
          <w:rFonts w:eastAsiaTheme="minorEastAsia"/>
        </w:rPr>
      </w:pPr>
    </w:p>
    <w:p w14:paraId="4BD9F0BC" w14:textId="77777777" w:rsidR="00672851" w:rsidRPr="00672851" w:rsidRDefault="00672851" w:rsidP="00873A9C">
      <w:pPr>
        <w:pStyle w:val="ListParagraph"/>
        <w:ind w:left="0"/>
        <w:jc w:val="both"/>
        <w:rPr>
          <w:rFonts w:eastAsiaTheme="minorEastAsia"/>
        </w:rPr>
      </w:pPr>
    </w:p>
    <w:p w14:paraId="38EBBF83" w14:textId="77777777" w:rsidR="00DC089E" w:rsidRDefault="00DB6D0A" w:rsidP="00DC089E">
      <w:pPr>
        <w:spacing w:line="240" w:lineRule="auto"/>
        <w:jc w:val="center"/>
        <w:rPr>
          <w:rFonts w:ascii="Times New Roman" w:eastAsiaTheme="minorEastAsia" w:hAnsi="Times New Roman" w:cs="Times New Roman"/>
          <w:sz w:val="20"/>
          <w:szCs w:val="20"/>
        </w:rPr>
      </w:pPr>
      <w:r>
        <w:rPr>
          <w:noProof/>
        </w:rPr>
        <w:lastRenderedPageBreak/>
        <w:drawing>
          <wp:inline distT="0" distB="0" distL="0" distR="0" wp14:anchorId="4A30997E" wp14:editId="5F49ABF9">
            <wp:extent cx="3381375" cy="3224587"/>
            <wp:effectExtent l="0" t="0" r="0" b="0"/>
            <wp:docPr id="2" name="Picture 2" descr="Para-Economic-Paradi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Economic-Paradig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2081" cy="3301550"/>
                    </a:xfrm>
                    <a:prstGeom prst="rect">
                      <a:avLst/>
                    </a:prstGeom>
                    <a:noFill/>
                    <a:ln>
                      <a:noFill/>
                    </a:ln>
                  </pic:spPr>
                </pic:pic>
              </a:graphicData>
            </a:graphic>
          </wp:inline>
        </w:drawing>
      </w:r>
    </w:p>
    <w:p w14:paraId="53F5B284" w14:textId="605370B8" w:rsidR="00A22522" w:rsidRPr="00DC089E" w:rsidRDefault="00A22522" w:rsidP="00DC089E">
      <w:pPr>
        <w:spacing w:line="240" w:lineRule="auto"/>
        <w:rPr>
          <w:rFonts w:ascii="Times New Roman" w:eastAsiaTheme="minorEastAsia" w:hAnsi="Times New Roman" w:cs="Times New Roman"/>
          <w:sz w:val="20"/>
          <w:szCs w:val="20"/>
        </w:rPr>
      </w:pPr>
      <w:r>
        <w:rPr>
          <w:rFonts w:ascii="Times New Roman" w:hAnsi="Times New Roman" w:cs="Times New Roman"/>
          <w:sz w:val="24"/>
          <w:szCs w:val="24"/>
        </w:rPr>
        <w:t>Each of t</w:t>
      </w:r>
      <w:r w:rsidRPr="00C81CE8">
        <w:rPr>
          <w:rFonts w:ascii="Times New Roman" w:hAnsi="Times New Roman" w:cs="Times New Roman"/>
          <w:sz w:val="24"/>
          <w:szCs w:val="24"/>
        </w:rPr>
        <w:t>he variety</w:t>
      </w:r>
      <w:r>
        <w:rPr>
          <w:rFonts w:ascii="Times New Roman" w:hAnsi="Times New Roman" w:cs="Times New Roman"/>
          <w:sz w:val="24"/>
          <w:szCs w:val="24"/>
        </w:rPr>
        <w:t xml:space="preserve"> of societal enclaves envisioned by the Para-economic Paradigm requires their</w:t>
      </w:r>
      <w:r w:rsidR="00F0219E">
        <w:rPr>
          <w:rFonts w:ascii="Times New Roman" w:hAnsi="Times New Roman" w:cs="Times New Roman"/>
          <w:sz w:val="24"/>
          <w:szCs w:val="24"/>
        </w:rPr>
        <w:t xml:space="preserve"> </w:t>
      </w:r>
      <w:r>
        <w:rPr>
          <w:rFonts w:ascii="Times New Roman" w:hAnsi="Times New Roman" w:cs="Times New Roman"/>
          <w:sz w:val="24"/>
          <w:szCs w:val="24"/>
        </w:rPr>
        <w:t xml:space="preserve">own unique design and management skills and tools. </w:t>
      </w:r>
      <w:r w:rsidR="002708E5">
        <w:rPr>
          <w:rFonts w:ascii="Times New Roman" w:hAnsi="Times New Roman" w:cs="Times New Roman"/>
          <w:sz w:val="24"/>
          <w:szCs w:val="24"/>
        </w:rPr>
        <w:t>Designers of and p</w:t>
      </w:r>
      <w:r>
        <w:rPr>
          <w:rFonts w:ascii="Times New Roman" w:hAnsi="Times New Roman" w:cs="Times New Roman"/>
          <w:sz w:val="24"/>
          <w:szCs w:val="24"/>
        </w:rPr>
        <w:t xml:space="preserve">articipants in </w:t>
      </w:r>
      <w:r w:rsidR="002708E5">
        <w:rPr>
          <w:rFonts w:ascii="Times New Roman" w:hAnsi="Times New Roman" w:cs="Times New Roman"/>
          <w:sz w:val="24"/>
          <w:szCs w:val="24"/>
        </w:rPr>
        <w:t>the variety</w:t>
      </w:r>
      <w:r w:rsidR="00F0219E">
        <w:rPr>
          <w:rFonts w:ascii="Times New Roman" w:hAnsi="Times New Roman" w:cs="Times New Roman"/>
          <w:sz w:val="24"/>
          <w:szCs w:val="24"/>
        </w:rPr>
        <w:t xml:space="preserve"> </w:t>
      </w:r>
      <w:r w:rsidR="002708E5">
        <w:rPr>
          <w:rFonts w:ascii="Times New Roman" w:hAnsi="Times New Roman" w:cs="Times New Roman"/>
          <w:sz w:val="24"/>
          <w:szCs w:val="24"/>
        </w:rPr>
        <w:t xml:space="preserve">of </w:t>
      </w:r>
      <w:r>
        <w:rPr>
          <w:rFonts w:ascii="Times New Roman" w:hAnsi="Times New Roman" w:cs="Times New Roman"/>
          <w:sz w:val="24"/>
          <w:szCs w:val="24"/>
        </w:rPr>
        <w:t>enclaves employ nuanced concepts of how technology is to be used, size, varieties of knowledge (cognition), space and even time, rather than be controlled by market dominated understandings of these concepts. However, Ramos is careful to point out that the social enclaves presented in his new paradigm are “….heuristic constructs in the Weberian sense. No situation in social life is expected to coincide with these ideal types. In the concrete world</w:t>
      </w:r>
      <w:r w:rsidR="00BC03FA">
        <w:rPr>
          <w:rFonts w:ascii="Times New Roman" w:hAnsi="Times New Roman" w:cs="Times New Roman"/>
          <w:sz w:val="24"/>
          <w:szCs w:val="24"/>
        </w:rPr>
        <w:t>,</w:t>
      </w:r>
      <w:r>
        <w:rPr>
          <w:rFonts w:ascii="Times New Roman" w:hAnsi="Times New Roman" w:cs="Times New Roman"/>
          <w:sz w:val="24"/>
          <w:szCs w:val="24"/>
        </w:rPr>
        <w:t xml:space="preserve"> only mixed social systems exist.” (Ramos, page 121). </w:t>
      </w:r>
    </w:p>
    <w:p w14:paraId="7FF8031A" w14:textId="3D76EEB9" w:rsidR="00A22522" w:rsidRDefault="00A22522" w:rsidP="00921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 Ramos asserts that: “</w:t>
      </w:r>
      <w:r w:rsidR="00FD65A5">
        <w:rPr>
          <w:rFonts w:ascii="Times New Roman" w:hAnsi="Times New Roman" w:cs="Times New Roman"/>
          <w:sz w:val="24"/>
          <w:szCs w:val="24"/>
        </w:rPr>
        <w:t>Social systems delimitation [organizational delimitation] postulates a variety of differentiated settings as vital imperatives of sound human associated life, i.e. it implies that men’s actualization is thwarted when they are coerced to conform to a society pre-empted by the market or any other social enclave.” (Ramos, page 136)</w:t>
      </w:r>
      <w:r w:rsidR="004C2389">
        <w:rPr>
          <w:rFonts w:ascii="Times New Roman" w:hAnsi="Times New Roman" w:cs="Times New Roman"/>
          <w:sz w:val="24"/>
          <w:szCs w:val="24"/>
        </w:rPr>
        <w:t xml:space="preserve"> </w:t>
      </w:r>
    </w:p>
    <w:p w14:paraId="4E0C967A" w14:textId="77777777" w:rsidR="00A22522" w:rsidRDefault="00A22522" w:rsidP="0092183E">
      <w:pPr>
        <w:spacing w:after="0" w:line="240" w:lineRule="auto"/>
        <w:jc w:val="both"/>
        <w:rPr>
          <w:rFonts w:ascii="Times New Roman" w:eastAsiaTheme="minorEastAsia" w:hAnsi="Times New Roman" w:cs="Times New Roman"/>
          <w:sz w:val="24"/>
          <w:szCs w:val="24"/>
        </w:rPr>
      </w:pPr>
    </w:p>
    <w:p w14:paraId="36B901AC" w14:textId="22D09A6E" w:rsidR="00A22522" w:rsidRDefault="00FD65A5" w:rsidP="0092183E">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f</w:t>
      </w:r>
      <w:r w:rsidR="00A22522">
        <w:rPr>
          <w:rFonts w:ascii="Times New Roman" w:eastAsiaTheme="minorEastAsia" w:hAnsi="Times New Roman" w:cs="Times New Roman"/>
          <w:sz w:val="24"/>
          <w:szCs w:val="24"/>
        </w:rPr>
        <w:t xml:space="preserve">or </w:t>
      </w:r>
      <w:r>
        <w:rPr>
          <w:rFonts w:ascii="Times New Roman" w:eastAsiaTheme="minorEastAsia" w:hAnsi="Times New Roman" w:cs="Times New Roman"/>
          <w:sz w:val="24"/>
          <w:szCs w:val="24"/>
        </w:rPr>
        <w:t xml:space="preserve">the </w:t>
      </w:r>
      <w:r w:rsidR="00A22522">
        <w:rPr>
          <w:rFonts w:ascii="Times New Roman" w:eastAsiaTheme="minorEastAsia" w:hAnsi="Times New Roman" w:cs="Times New Roman"/>
          <w:sz w:val="24"/>
          <w:szCs w:val="24"/>
        </w:rPr>
        <w:t>purpose</w:t>
      </w:r>
      <w:r w:rsidR="007D4F55">
        <w:rPr>
          <w:rFonts w:ascii="Times New Roman" w:eastAsiaTheme="minorEastAsia" w:hAnsi="Times New Roman" w:cs="Times New Roman"/>
          <w:sz w:val="24"/>
          <w:szCs w:val="24"/>
        </w:rPr>
        <w:t>s</w:t>
      </w:r>
      <w:r w:rsidR="00A22522">
        <w:rPr>
          <w:rFonts w:ascii="Times New Roman" w:eastAsiaTheme="minorEastAsia" w:hAnsi="Times New Roman" w:cs="Times New Roman"/>
          <w:sz w:val="24"/>
          <w:szCs w:val="24"/>
        </w:rPr>
        <w:t xml:space="preserve"> </w:t>
      </w:r>
      <w:r w:rsidR="007D4F55">
        <w:rPr>
          <w:rFonts w:ascii="Times New Roman" w:eastAsiaTheme="minorEastAsia" w:hAnsi="Times New Roman" w:cs="Times New Roman"/>
          <w:sz w:val="24"/>
          <w:szCs w:val="24"/>
        </w:rPr>
        <w:t>of examining how to adapt to the future of productive effort and how local budget processes can incorporate wellbeing</w:t>
      </w:r>
      <w:r w:rsidR="00A22522">
        <w:rPr>
          <w:rFonts w:ascii="Times New Roman" w:eastAsiaTheme="minorEastAsia" w:hAnsi="Times New Roman" w:cs="Times New Roman"/>
          <w:sz w:val="24"/>
          <w:szCs w:val="24"/>
        </w:rPr>
        <w:t>, two social enclave</w:t>
      </w:r>
      <w:r w:rsidR="005562BD">
        <w:rPr>
          <w:rFonts w:ascii="Times New Roman" w:eastAsiaTheme="minorEastAsia" w:hAnsi="Times New Roman" w:cs="Times New Roman"/>
          <w:sz w:val="24"/>
          <w:szCs w:val="24"/>
        </w:rPr>
        <w:t xml:space="preserve"> constructs</w:t>
      </w:r>
      <w:r w:rsidR="00A22522">
        <w:rPr>
          <w:rFonts w:ascii="Times New Roman" w:eastAsiaTheme="minorEastAsia" w:hAnsi="Times New Roman" w:cs="Times New Roman"/>
          <w:sz w:val="24"/>
          <w:szCs w:val="24"/>
        </w:rPr>
        <w:t xml:space="preserve"> require a bit of elaboration: Isonomy and Phenonomy.</w:t>
      </w:r>
      <w:r w:rsidR="005562BD">
        <w:rPr>
          <w:rFonts w:ascii="Times New Roman" w:eastAsiaTheme="minorEastAsia" w:hAnsi="Times New Roman" w:cs="Times New Roman"/>
          <w:sz w:val="24"/>
          <w:szCs w:val="24"/>
        </w:rPr>
        <w:t xml:space="preserve"> Examples already exist in various forms</w:t>
      </w:r>
      <w:r w:rsidR="00BC03FA">
        <w:rPr>
          <w:rFonts w:ascii="Times New Roman" w:eastAsiaTheme="minorEastAsia" w:hAnsi="Times New Roman" w:cs="Times New Roman"/>
          <w:sz w:val="24"/>
          <w:szCs w:val="24"/>
        </w:rPr>
        <w:t xml:space="preserve"> in society</w:t>
      </w:r>
      <w:r w:rsidR="005562BD">
        <w:rPr>
          <w:rFonts w:ascii="Times New Roman" w:eastAsiaTheme="minorEastAsia" w:hAnsi="Times New Roman" w:cs="Times New Roman"/>
          <w:sz w:val="24"/>
          <w:szCs w:val="24"/>
        </w:rPr>
        <w:t xml:space="preserve">, however, </w:t>
      </w:r>
      <w:r w:rsidR="00BC03FA">
        <w:rPr>
          <w:rFonts w:ascii="Times New Roman" w:eastAsiaTheme="minorEastAsia" w:hAnsi="Times New Roman" w:cs="Times New Roman"/>
          <w:sz w:val="24"/>
          <w:szCs w:val="24"/>
        </w:rPr>
        <w:t>public policy makers</w:t>
      </w:r>
      <w:r w:rsidR="005562BD">
        <w:rPr>
          <w:rFonts w:ascii="Times New Roman" w:eastAsiaTheme="minorEastAsia" w:hAnsi="Times New Roman" w:cs="Times New Roman"/>
          <w:sz w:val="24"/>
          <w:szCs w:val="24"/>
        </w:rPr>
        <w:t xml:space="preserve"> largely underst</w:t>
      </w:r>
      <w:r w:rsidR="00BC03FA">
        <w:rPr>
          <w:rFonts w:ascii="Times New Roman" w:eastAsiaTheme="minorEastAsia" w:hAnsi="Times New Roman" w:cs="Times New Roman"/>
          <w:sz w:val="24"/>
          <w:szCs w:val="24"/>
        </w:rPr>
        <w:t>and them</w:t>
      </w:r>
      <w:r w:rsidR="005562BD">
        <w:rPr>
          <w:rFonts w:ascii="Times New Roman" w:eastAsiaTheme="minorEastAsia" w:hAnsi="Times New Roman" w:cs="Times New Roman"/>
          <w:sz w:val="24"/>
          <w:szCs w:val="24"/>
        </w:rPr>
        <w:t xml:space="preserve"> </w:t>
      </w:r>
      <w:r w:rsidR="00BC03FA">
        <w:rPr>
          <w:rFonts w:ascii="Times New Roman" w:eastAsiaTheme="minorEastAsia" w:hAnsi="Times New Roman" w:cs="Times New Roman"/>
          <w:sz w:val="24"/>
          <w:szCs w:val="24"/>
        </w:rPr>
        <w:t xml:space="preserve">from the conceptual framework of the economic enclave. Specifically, they are primarily understood as additional </w:t>
      </w:r>
      <w:r w:rsidR="007D4F55">
        <w:rPr>
          <w:rFonts w:ascii="Times New Roman" w:eastAsiaTheme="minorEastAsia" w:hAnsi="Times New Roman" w:cs="Times New Roman"/>
          <w:sz w:val="24"/>
          <w:szCs w:val="24"/>
        </w:rPr>
        <w:t>spaces</w:t>
      </w:r>
      <w:r w:rsidR="00BC03FA">
        <w:rPr>
          <w:rFonts w:ascii="Times New Roman" w:eastAsiaTheme="minorEastAsia" w:hAnsi="Times New Roman" w:cs="Times New Roman"/>
          <w:sz w:val="24"/>
          <w:szCs w:val="24"/>
        </w:rPr>
        <w:t xml:space="preserve"> to facilitate the delivery of public services</w:t>
      </w:r>
      <w:r w:rsidR="00332243">
        <w:rPr>
          <w:rFonts w:ascii="Times New Roman" w:eastAsiaTheme="minorEastAsia" w:hAnsi="Times New Roman" w:cs="Times New Roman"/>
          <w:sz w:val="24"/>
          <w:szCs w:val="24"/>
        </w:rPr>
        <w:t xml:space="preserve"> </w:t>
      </w:r>
      <w:r w:rsidR="00CB4C73">
        <w:rPr>
          <w:rFonts w:ascii="Times New Roman" w:eastAsiaTheme="minorEastAsia" w:hAnsi="Times New Roman" w:cs="Times New Roman"/>
          <w:sz w:val="24"/>
          <w:szCs w:val="24"/>
        </w:rPr>
        <w:t xml:space="preserve">in the form of coproduction </w:t>
      </w:r>
      <w:r w:rsidR="00E11BF0">
        <w:rPr>
          <w:rFonts w:ascii="Times New Roman" w:eastAsiaTheme="minorEastAsia" w:hAnsi="Times New Roman" w:cs="Times New Roman"/>
          <w:sz w:val="24"/>
          <w:szCs w:val="24"/>
        </w:rPr>
        <w:t>(</w:t>
      </w:r>
      <w:r w:rsidR="00E57F18">
        <w:rPr>
          <w:rFonts w:ascii="Times New Roman" w:eastAsiaTheme="minorEastAsia" w:hAnsi="Times New Roman" w:cs="Times New Roman"/>
          <w:sz w:val="24"/>
          <w:szCs w:val="24"/>
        </w:rPr>
        <w:t>3</w:t>
      </w:r>
      <w:r w:rsidR="00E11BF0">
        <w:rPr>
          <w:rFonts w:ascii="Times New Roman" w:eastAsiaTheme="minorEastAsia" w:hAnsi="Times New Roman" w:cs="Times New Roman"/>
          <w:sz w:val="24"/>
          <w:szCs w:val="24"/>
        </w:rPr>
        <w:t>)</w:t>
      </w:r>
      <w:r w:rsidR="00BC03FA">
        <w:rPr>
          <w:rFonts w:ascii="Times New Roman" w:eastAsiaTheme="minorEastAsia" w:hAnsi="Times New Roman" w:cs="Times New Roman"/>
          <w:sz w:val="24"/>
          <w:szCs w:val="24"/>
        </w:rPr>
        <w:t>, and</w:t>
      </w:r>
      <w:r w:rsidR="007D4F55">
        <w:rPr>
          <w:rFonts w:ascii="Times New Roman" w:eastAsiaTheme="minorEastAsia" w:hAnsi="Times New Roman" w:cs="Times New Roman"/>
          <w:sz w:val="24"/>
          <w:szCs w:val="24"/>
        </w:rPr>
        <w:t>/or</w:t>
      </w:r>
      <w:r w:rsidR="00BC03FA">
        <w:rPr>
          <w:rFonts w:ascii="Times New Roman" w:eastAsiaTheme="minorEastAsia" w:hAnsi="Times New Roman" w:cs="Times New Roman"/>
          <w:sz w:val="24"/>
          <w:szCs w:val="24"/>
        </w:rPr>
        <w:t xml:space="preserve"> </w:t>
      </w:r>
      <w:r w:rsidR="005562BD">
        <w:rPr>
          <w:rFonts w:ascii="Times New Roman" w:eastAsiaTheme="minorEastAsia" w:hAnsi="Times New Roman" w:cs="Times New Roman"/>
          <w:sz w:val="24"/>
          <w:szCs w:val="24"/>
        </w:rPr>
        <w:t>as sources of jobs</w:t>
      </w:r>
      <w:r w:rsidR="00172E40">
        <w:rPr>
          <w:rFonts w:ascii="Times New Roman" w:eastAsiaTheme="minorEastAsia" w:hAnsi="Times New Roman" w:cs="Times New Roman"/>
          <w:sz w:val="24"/>
          <w:szCs w:val="24"/>
        </w:rPr>
        <w:t xml:space="preserve"> the output of which </w:t>
      </w:r>
      <w:r w:rsidR="008A59EE">
        <w:rPr>
          <w:rFonts w:ascii="Times New Roman" w:eastAsiaTheme="minorEastAsia" w:hAnsi="Times New Roman" w:cs="Times New Roman"/>
          <w:sz w:val="24"/>
          <w:szCs w:val="24"/>
        </w:rPr>
        <w:t>are only</w:t>
      </w:r>
      <w:r w:rsidR="00172E40">
        <w:rPr>
          <w:rFonts w:ascii="Times New Roman" w:eastAsiaTheme="minorEastAsia" w:hAnsi="Times New Roman" w:cs="Times New Roman"/>
          <w:sz w:val="24"/>
          <w:szCs w:val="24"/>
        </w:rPr>
        <w:t xml:space="preserve"> measured by standards of economic activity</w:t>
      </w:r>
      <w:r w:rsidR="005562BD">
        <w:rPr>
          <w:rFonts w:ascii="Times New Roman" w:eastAsiaTheme="minorEastAsia" w:hAnsi="Times New Roman" w:cs="Times New Roman"/>
          <w:sz w:val="24"/>
          <w:szCs w:val="24"/>
        </w:rPr>
        <w:t xml:space="preserve"> </w:t>
      </w:r>
      <w:r w:rsidR="00172E40">
        <w:rPr>
          <w:rFonts w:ascii="Times New Roman" w:eastAsiaTheme="minorEastAsia" w:hAnsi="Times New Roman" w:cs="Times New Roman"/>
          <w:sz w:val="24"/>
          <w:szCs w:val="24"/>
        </w:rPr>
        <w:t>relevant to</w:t>
      </w:r>
      <w:r w:rsidR="005562BD">
        <w:rPr>
          <w:rFonts w:ascii="Times New Roman" w:eastAsiaTheme="minorEastAsia" w:hAnsi="Times New Roman" w:cs="Times New Roman"/>
          <w:sz w:val="24"/>
          <w:szCs w:val="24"/>
        </w:rPr>
        <w:t xml:space="preserve"> the econom</w:t>
      </w:r>
      <w:r w:rsidR="00BC03FA">
        <w:rPr>
          <w:rFonts w:ascii="Times New Roman" w:eastAsiaTheme="minorEastAsia" w:hAnsi="Times New Roman" w:cs="Times New Roman"/>
          <w:sz w:val="24"/>
          <w:szCs w:val="24"/>
        </w:rPr>
        <w:t>ic</w:t>
      </w:r>
      <w:r w:rsidR="005562BD">
        <w:rPr>
          <w:rFonts w:ascii="Times New Roman" w:eastAsiaTheme="minorEastAsia" w:hAnsi="Times New Roman" w:cs="Times New Roman"/>
          <w:sz w:val="24"/>
          <w:szCs w:val="24"/>
        </w:rPr>
        <w:t xml:space="preserve"> enclave</w:t>
      </w:r>
      <w:r w:rsidR="002B78CF">
        <w:rPr>
          <w:rFonts w:ascii="Times New Roman" w:eastAsiaTheme="minorEastAsia" w:hAnsi="Times New Roman" w:cs="Times New Roman"/>
          <w:sz w:val="24"/>
          <w:szCs w:val="24"/>
        </w:rPr>
        <w:t>. From the lens of the economic enclave, they are not seen</w:t>
      </w:r>
      <w:r w:rsidR="005562BD">
        <w:rPr>
          <w:rFonts w:ascii="Times New Roman" w:eastAsiaTheme="minorEastAsia" w:hAnsi="Times New Roman" w:cs="Times New Roman"/>
          <w:sz w:val="24"/>
          <w:szCs w:val="24"/>
        </w:rPr>
        <w:t xml:space="preserve"> as separate and useful social settings </w:t>
      </w:r>
      <w:r w:rsidR="00172E40">
        <w:rPr>
          <w:rFonts w:ascii="Times New Roman" w:eastAsiaTheme="minorEastAsia" w:hAnsi="Times New Roman" w:cs="Times New Roman"/>
          <w:sz w:val="24"/>
          <w:szCs w:val="24"/>
        </w:rPr>
        <w:t xml:space="preserve">for productive activities contributing to national wealth </w:t>
      </w:r>
      <w:r w:rsidR="00F0219E">
        <w:rPr>
          <w:rFonts w:ascii="Times New Roman" w:eastAsiaTheme="minorEastAsia" w:hAnsi="Times New Roman" w:cs="Times New Roman"/>
          <w:sz w:val="24"/>
          <w:szCs w:val="24"/>
        </w:rPr>
        <w:t>primarily because</w:t>
      </w:r>
      <w:r w:rsidR="00172E40">
        <w:rPr>
          <w:rFonts w:ascii="Times New Roman" w:eastAsiaTheme="minorEastAsia" w:hAnsi="Times New Roman" w:cs="Times New Roman"/>
          <w:sz w:val="24"/>
          <w:szCs w:val="24"/>
        </w:rPr>
        <w:t xml:space="preserve"> </w:t>
      </w:r>
      <w:r w:rsidR="002B78CF">
        <w:rPr>
          <w:rFonts w:ascii="Times New Roman" w:eastAsiaTheme="minorEastAsia" w:hAnsi="Times New Roman" w:cs="Times New Roman"/>
          <w:sz w:val="24"/>
          <w:szCs w:val="24"/>
        </w:rPr>
        <w:t xml:space="preserve">their output is not </w:t>
      </w:r>
      <w:r w:rsidR="00172E40">
        <w:rPr>
          <w:rFonts w:ascii="Times New Roman" w:eastAsiaTheme="minorEastAsia" w:hAnsi="Times New Roman" w:cs="Times New Roman"/>
          <w:sz w:val="24"/>
          <w:szCs w:val="24"/>
        </w:rPr>
        <w:t xml:space="preserve">measured by </w:t>
      </w:r>
      <w:r w:rsidR="004C2389">
        <w:rPr>
          <w:rFonts w:ascii="Times New Roman" w:eastAsiaTheme="minorEastAsia" w:hAnsi="Times New Roman" w:cs="Times New Roman"/>
          <w:sz w:val="24"/>
          <w:szCs w:val="24"/>
        </w:rPr>
        <w:t>standards relevant to the</w:t>
      </w:r>
      <w:r w:rsidR="00172E40">
        <w:rPr>
          <w:rFonts w:ascii="Times New Roman" w:eastAsiaTheme="minorEastAsia" w:hAnsi="Times New Roman" w:cs="Times New Roman"/>
          <w:sz w:val="24"/>
          <w:szCs w:val="24"/>
        </w:rPr>
        <w:t xml:space="preserve"> econom</w:t>
      </w:r>
      <w:r w:rsidR="002B78CF">
        <w:rPr>
          <w:rFonts w:ascii="Times New Roman" w:eastAsiaTheme="minorEastAsia" w:hAnsi="Times New Roman" w:cs="Times New Roman"/>
          <w:sz w:val="24"/>
          <w:szCs w:val="24"/>
        </w:rPr>
        <w:t>ic</w:t>
      </w:r>
      <w:r w:rsidR="00172E40">
        <w:rPr>
          <w:rFonts w:ascii="Times New Roman" w:eastAsiaTheme="minorEastAsia" w:hAnsi="Times New Roman" w:cs="Times New Roman"/>
          <w:sz w:val="24"/>
          <w:szCs w:val="24"/>
        </w:rPr>
        <w:t xml:space="preserve"> enclave</w:t>
      </w:r>
      <w:r w:rsidR="005562BD">
        <w:rPr>
          <w:rFonts w:ascii="Times New Roman" w:eastAsiaTheme="minorEastAsia" w:hAnsi="Times New Roman" w:cs="Times New Roman"/>
          <w:sz w:val="24"/>
          <w:szCs w:val="24"/>
        </w:rPr>
        <w:t xml:space="preserve">. </w:t>
      </w:r>
      <w:r w:rsidR="00F0219E">
        <w:rPr>
          <w:rFonts w:ascii="Times New Roman" w:eastAsiaTheme="minorEastAsia" w:hAnsi="Times New Roman" w:cs="Times New Roman"/>
          <w:sz w:val="24"/>
          <w:szCs w:val="24"/>
        </w:rPr>
        <w:t>Historically, t</w:t>
      </w:r>
      <w:r w:rsidR="007D4F55">
        <w:rPr>
          <w:rFonts w:ascii="Times New Roman" w:eastAsiaTheme="minorEastAsia" w:hAnsi="Times New Roman" w:cs="Times New Roman"/>
          <w:sz w:val="24"/>
          <w:szCs w:val="24"/>
        </w:rPr>
        <w:t xml:space="preserve">hey </w:t>
      </w:r>
      <w:r w:rsidR="00F0219E">
        <w:rPr>
          <w:rFonts w:ascii="Times New Roman" w:eastAsiaTheme="minorEastAsia" w:hAnsi="Times New Roman" w:cs="Times New Roman"/>
          <w:sz w:val="24"/>
          <w:szCs w:val="24"/>
        </w:rPr>
        <w:t>have</w:t>
      </w:r>
      <w:r w:rsidR="007D4F55">
        <w:rPr>
          <w:rFonts w:ascii="Times New Roman" w:eastAsiaTheme="minorEastAsia" w:hAnsi="Times New Roman" w:cs="Times New Roman"/>
          <w:sz w:val="24"/>
          <w:szCs w:val="24"/>
        </w:rPr>
        <w:t xml:space="preserve"> also not </w:t>
      </w:r>
      <w:r w:rsidR="007279FA">
        <w:rPr>
          <w:rFonts w:ascii="Times New Roman" w:eastAsiaTheme="minorEastAsia" w:hAnsi="Times New Roman" w:cs="Times New Roman"/>
          <w:sz w:val="24"/>
          <w:szCs w:val="24"/>
        </w:rPr>
        <w:t xml:space="preserve">been </w:t>
      </w:r>
      <w:r w:rsidR="007D4F55">
        <w:rPr>
          <w:rFonts w:ascii="Times New Roman" w:eastAsiaTheme="minorEastAsia" w:hAnsi="Times New Roman" w:cs="Times New Roman"/>
          <w:sz w:val="24"/>
          <w:szCs w:val="24"/>
        </w:rPr>
        <w:t xml:space="preserve">seen as integral and paramount for defining and addressing wellbeing of citizens. </w:t>
      </w:r>
      <w:r w:rsidR="005562BD">
        <w:rPr>
          <w:rFonts w:ascii="Times New Roman" w:eastAsiaTheme="minorEastAsia" w:hAnsi="Times New Roman" w:cs="Times New Roman"/>
          <w:sz w:val="24"/>
          <w:szCs w:val="24"/>
        </w:rPr>
        <w:t>Disentangling them from the econom</w:t>
      </w:r>
      <w:r w:rsidR="002B78CF">
        <w:rPr>
          <w:rFonts w:ascii="Times New Roman" w:eastAsiaTheme="minorEastAsia" w:hAnsi="Times New Roman" w:cs="Times New Roman"/>
          <w:sz w:val="24"/>
          <w:szCs w:val="24"/>
        </w:rPr>
        <w:t>ic</w:t>
      </w:r>
      <w:r w:rsidR="005562BD">
        <w:rPr>
          <w:rFonts w:ascii="Times New Roman" w:eastAsiaTheme="minorEastAsia" w:hAnsi="Times New Roman" w:cs="Times New Roman"/>
          <w:sz w:val="24"/>
          <w:szCs w:val="24"/>
        </w:rPr>
        <w:t xml:space="preserve"> enclave </w:t>
      </w:r>
      <w:r w:rsidR="002B78CF">
        <w:rPr>
          <w:rFonts w:ascii="Times New Roman" w:eastAsiaTheme="minorEastAsia" w:hAnsi="Times New Roman" w:cs="Times New Roman"/>
          <w:sz w:val="24"/>
          <w:szCs w:val="24"/>
        </w:rPr>
        <w:t xml:space="preserve">lens </w:t>
      </w:r>
      <w:r w:rsidR="005562BD">
        <w:rPr>
          <w:rFonts w:ascii="Times New Roman" w:eastAsiaTheme="minorEastAsia" w:hAnsi="Times New Roman" w:cs="Times New Roman"/>
          <w:sz w:val="24"/>
          <w:szCs w:val="24"/>
        </w:rPr>
        <w:t>is possible by using the Para-economic Paradigm</w:t>
      </w:r>
      <w:r w:rsidR="002B78CF">
        <w:rPr>
          <w:rFonts w:ascii="Times New Roman" w:eastAsiaTheme="minorEastAsia" w:hAnsi="Times New Roman" w:cs="Times New Roman"/>
          <w:sz w:val="24"/>
          <w:szCs w:val="24"/>
        </w:rPr>
        <w:t>.</w:t>
      </w:r>
      <w:r w:rsidR="00D751F8">
        <w:rPr>
          <w:rFonts w:ascii="Times New Roman" w:eastAsiaTheme="minorEastAsia" w:hAnsi="Times New Roman" w:cs="Times New Roman"/>
          <w:sz w:val="24"/>
          <w:szCs w:val="24"/>
        </w:rPr>
        <w:t xml:space="preserve"> </w:t>
      </w:r>
      <w:r w:rsidR="002B78CF">
        <w:rPr>
          <w:rFonts w:ascii="Times New Roman" w:eastAsiaTheme="minorEastAsia" w:hAnsi="Times New Roman" w:cs="Times New Roman"/>
          <w:sz w:val="24"/>
          <w:szCs w:val="24"/>
        </w:rPr>
        <w:t>W</w:t>
      </w:r>
      <w:r w:rsidR="00D751F8">
        <w:rPr>
          <w:rFonts w:ascii="Times New Roman" w:eastAsiaTheme="minorEastAsia" w:hAnsi="Times New Roman" w:cs="Times New Roman"/>
          <w:sz w:val="24"/>
          <w:szCs w:val="24"/>
        </w:rPr>
        <w:t>hen disentangled</w:t>
      </w:r>
      <w:r w:rsidR="002B78CF">
        <w:rPr>
          <w:rFonts w:ascii="Times New Roman" w:eastAsiaTheme="minorEastAsia" w:hAnsi="Times New Roman" w:cs="Times New Roman"/>
          <w:sz w:val="24"/>
          <w:szCs w:val="24"/>
        </w:rPr>
        <w:t>, we begin to see that they can play a</w:t>
      </w:r>
      <w:r w:rsidR="007D4F55">
        <w:rPr>
          <w:rFonts w:ascii="Times New Roman" w:eastAsiaTheme="minorEastAsia" w:hAnsi="Times New Roman" w:cs="Times New Roman"/>
          <w:sz w:val="24"/>
          <w:szCs w:val="24"/>
        </w:rPr>
        <w:t>n enhanced and</w:t>
      </w:r>
      <w:r w:rsidR="002B78CF">
        <w:rPr>
          <w:rFonts w:ascii="Times New Roman" w:eastAsiaTheme="minorEastAsia" w:hAnsi="Times New Roman" w:cs="Times New Roman"/>
          <w:sz w:val="24"/>
          <w:szCs w:val="24"/>
        </w:rPr>
        <w:t xml:space="preserve"> vital role in the functioning of societies.</w:t>
      </w:r>
      <w:r w:rsidR="00D751F8">
        <w:rPr>
          <w:rFonts w:ascii="Times New Roman" w:eastAsiaTheme="minorEastAsia" w:hAnsi="Times New Roman" w:cs="Times New Roman"/>
          <w:sz w:val="24"/>
          <w:szCs w:val="24"/>
        </w:rPr>
        <w:t xml:space="preserve"> </w:t>
      </w:r>
      <w:r w:rsidR="00F3507C">
        <w:rPr>
          <w:rFonts w:ascii="Times New Roman" w:eastAsiaTheme="minorEastAsia" w:hAnsi="Times New Roman" w:cs="Times New Roman"/>
          <w:sz w:val="24"/>
          <w:szCs w:val="24"/>
        </w:rPr>
        <w:t>(4)</w:t>
      </w:r>
    </w:p>
    <w:p w14:paraId="79942A76" w14:textId="442DDDD0" w:rsidR="002B78CF" w:rsidRDefault="002B78CF" w:rsidP="0092183E">
      <w:pPr>
        <w:spacing w:after="0" w:line="240" w:lineRule="auto"/>
        <w:jc w:val="both"/>
        <w:rPr>
          <w:rFonts w:ascii="Times New Roman" w:eastAsiaTheme="minorEastAsia" w:hAnsi="Times New Roman" w:cs="Times New Roman"/>
          <w:sz w:val="24"/>
          <w:szCs w:val="24"/>
        </w:rPr>
      </w:pPr>
    </w:p>
    <w:p w14:paraId="2EA35299" w14:textId="5014B90A" w:rsidR="002B78CF" w:rsidRDefault="002B78CF" w:rsidP="0092183E">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Let</w:t>
      </w:r>
      <w:r w:rsidR="00CB4C7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s take a closer look at each enclave.</w:t>
      </w:r>
    </w:p>
    <w:p w14:paraId="72820051" w14:textId="77777777" w:rsidR="00A22522" w:rsidRDefault="00A22522" w:rsidP="0092183E">
      <w:pPr>
        <w:spacing w:after="0" w:line="240" w:lineRule="auto"/>
        <w:jc w:val="both"/>
        <w:rPr>
          <w:rFonts w:ascii="Times New Roman" w:eastAsiaTheme="minorEastAsia" w:hAnsi="Times New Roman" w:cs="Times New Roman"/>
          <w:sz w:val="24"/>
          <w:szCs w:val="24"/>
        </w:rPr>
      </w:pPr>
    </w:p>
    <w:p w14:paraId="005325A8" w14:textId="77777777" w:rsidR="00A22522" w:rsidRDefault="00A22522" w:rsidP="0092183E">
      <w:pPr>
        <w:spacing w:after="0" w:line="240" w:lineRule="auto"/>
        <w:jc w:val="both"/>
        <w:rPr>
          <w:rFonts w:ascii="Times New Roman" w:eastAsiaTheme="minorEastAsia" w:hAnsi="Times New Roman" w:cs="Times New Roman"/>
          <w:sz w:val="24"/>
          <w:szCs w:val="24"/>
          <w:u w:val="single"/>
        </w:rPr>
      </w:pPr>
      <w:r w:rsidRPr="001D556D">
        <w:rPr>
          <w:rFonts w:ascii="Times New Roman" w:eastAsiaTheme="minorEastAsia" w:hAnsi="Times New Roman" w:cs="Times New Roman"/>
          <w:sz w:val="24"/>
          <w:szCs w:val="24"/>
          <w:u w:val="single"/>
        </w:rPr>
        <w:t>Isonomy</w:t>
      </w:r>
    </w:p>
    <w:p w14:paraId="10D845D2" w14:textId="77777777" w:rsidR="00A22522" w:rsidRDefault="00A22522" w:rsidP="00A22522">
      <w:pPr>
        <w:spacing w:after="0" w:line="240" w:lineRule="auto"/>
        <w:jc w:val="both"/>
        <w:rPr>
          <w:rFonts w:ascii="Times New Roman" w:eastAsiaTheme="minorEastAsia" w:hAnsi="Times New Roman" w:cs="Times New Roman"/>
          <w:sz w:val="24"/>
          <w:szCs w:val="24"/>
          <w:u w:val="single"/>
        </w:rPr>
      </w:pPr>
    </w:p>
    <w:p w14:paraId="757B5D17" w14:textId="77777777" w:rsidR="002B78CF" w:rsidRDefault="00A22522" w:rsidP="00A22522">
      <w:pPr>
        <w:spacing w:after="0" w:line="240" w:lineRule="auto"/>
        <w:jc w:val="both"/>
        <w:rPr>
          <w:rFonts w:ascii="Times New Roman" w:eastAsiaTheme="minorEastAsia" w:hAnsi="Times New Roman" w:cs="Times New Roman"/>
          <w:sz w:val="24"/>
          <w:szCs w:val="24"/>
        </w:rPr>
      </w:pPr>
      <w:r w:rsidRPr="001D556D">
        <w:rPr>
          <w:rFonts w:ascii="Times New Roman" w:eastAsiaTheme="minorEastAsia" w:hAnsi="Times New Roman" w:cs="Times New Roman"/>
          <w:sz w:val="24"/>
          <w:szCs w:val="24"/>
        </w:rPr>
        <w:t>“In general</w:t>
      </w:r>
      <w:r w:rsidR="002B78CF">
        <w:rPr>
          <w:rFonts w:ascii="Times New Roman" w:eastAsiaTheme="minorEastAsia" w:hAnsi="Times New Roman" w:cs="Times New Roman"/>
          <w:sz w:val="24"/>
          <w:szCs w:val="24"/>
        </w:rPr>
        <w:t>,</w:t>
      </w:r>
      <w:r w:rsidRPr="001D556D">
        <w:rPr>
          <w:rFonts w:ascii="Times New Roman" w:eastAsiaTheme="minorEastAsia" w:hAnsi="Times New Roman" w:cs="Times New Roman"/>
          <w:sz w:val="24"/>
          <w:szCs w:val="24"/>
        </w:rPr>
        <w:t xml:space="preserve"> Isonomy</w:t>
      </w:r>
      <w:r>
        <w:rPr>
          <w:rFonts w:ascii="Times New Roman" w:eastAsiaTheme="minorEastAsia" w:hAnsi="Times New Roman" w:cs="Times New Roman"/>
          <w:sz w:val="24"/>
          <w:szCs w:val="24"/>
        </w:rPr>
        <w:t xml:space="preserve"> can be defined as a setting in which its members are peers…..Isonomy is conceived as a true community in which authority is assigned by common deliberation……arrangements in which ultimately people are searching for styles of life which transcend the dominate normative standards at large. (Ramos, pages 131-132). </w:t>
      </w:r>
    </w:p>
    <w:p w14:paraId="15DA4B48" w14:textId="77777777" w:rsidR="002B78CF" w:rsidRDefault="002B78CF" w:rsidP="00A22522">
      <w:pPr>
        <w:spacing w:after="0" w:line="240" w:lineRule="auto"/>
        <w:jc w:val="both"/>
        <w:rPr>
          <w:rFonts w:ascii="Times New Roman" w:eastAsiaTheme="minorEastAsia" w:hAnsi="Times New Roman" w:cs="Times New Roman"/>
          <w:sz w:val="24"/>
          <w:szCs w:val="24"/>
        </w:rPr>
      </w:pPr>
    </w:p>
    <w:p w14:paraId="53FB4E13" w14:textId="18AF3D95" w:rsidR="00A22522" w:rsidRDefault="00A22522" w:rsidP="00A22522">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Key characteristics are:</w:t>
      </w:r>
    </w:p>
    <w:p w14:paraId="6AEF0D5E" w14:textId="77777777" w:rsidR="00A22522" w:rsidRDefault="00A22522" w:rsidP="00A22522">
      <w:pPr>
        <w:spacing w:after="0" w:line="240" w:lineRule="auto"/>
        <w:jc w:val="both"/>
        <w:rPr>
          <w:rFonts w:ascii="Times New Roman" w:eastAsiaTheme="minorEastAsia" w:hAnsi="Times New Roman" w:cs="Times New Roman"/>
          <w:sz w:val="24"/>
          <w:szCs w:val="24"/>
        </w:rPr>
      </w:pPr>
    </w:p>
    <w:p w14:paraId="6FE0B2BA" w14:textId="77777777" w:rsidR="00A22522" w:rsidRDefault="00A22522" w:rsidP="00A22522">
      <w:pPr>
        <w:pStyle w:val="ListParagraph"/>
        <w:numPr>
          <w:ilvl w:val="0"/>
          <w:numId w:val="11"/>
        </w:numPr>
        <w:jc w:val="both"/>
        <w:rPr>
          <w:rFonts w:eastAsiaTheme="minorEastAsia"/>
        </w:rPr>
      </w:pPr>
      <w:r>
        <w:rPr>
          <w:rFonts w:eastAsiaTheme="minorEastAsia"/>
        </w:rPr>
        <w:t>“Its essential goal is to allow the actualization of its members free from superimposed prescriptions.</w:t>
      </w:r>
    </w:p>
    <w:p w14:paraId="1A3572D9" w14:textId="77777777" w:rsidR="00A22522" w:rsidRDefault="00A22522" w:rsidP="00A22522">
      <w:pPr>
        <w:pStyle w:val="ListParagraph"/>
        <w:numPr>
          <w:ilvl w:val="0"/>
          <w:numId w:val="11"/>
        </w:numPr>
        <w:jc w:val="both"/>
        <w:rPr>
          <w:rFonts w:eastAsiaTheme="minorEastAsia"/>
        </w:rPr>
      </w:pPr>
      <w:r>
        <w:rPr>
          <w:rFonts w:eastAsiaTheme="minorEastAsia"/>
        </w:rPr>
        <w:t>It is largely self -gratifying in the sense that in it freely associated individuals accomplish activities that are rewarding in themselves</w:t>
      </w:r>
    </w:p>
    <w:p w14:paraId="0F83AA41" w14:textId="77777777" w:rsidR="00A22522" w:rsidRDefault="00A22522" w:rsidP="00A22522">
      <w:pPr>
        <w:pStyle w:val="ListParagraph"/>
        <w:numPr>
          <w:ilvl w:val="0"/>
          <w:numId w:val="11"/>
        </w:numPr>
        <w:jc w:val="both"/>
        <w:rPr>
          <w:rFonts w:eastAsiaTheme="minorEastAsia"/>
        </w:rPr>
      </w:pPr>
      <w:r>
        <w:rPr>
          <w:rFonts w:eastAsiaTheme="minorEastAsia"/>
        </w:rPr>
        <w:t>Its activities are undertaken primarily as vocations, not as jobs. In isonomies people work; they do not labor. In other words, their basic reward is the accomplishment of their works’ intrinsic objectives, not the revenue eventually drawn from their doings. Thus, utility maximization is incidental to the individual’s basic concerns.</w:t>
      </w:r>
    </w:p>
    <w:p w14:paraId="492734AA" w14:textId="064E3E93" w:rsidR="00A22522" w:rsidRDefault="00A22522" w:rsidP="00A22522">
      <w:pPr>
        <w:pStyle w:val="ListParagraph"/>
        <w:numPr>
          <w:ilvl w:val="0"/>
          <w:numId w:val="11"/>
        </w:numPr>
        <w:jc w:val="both"/>
        <w:rPr>
          <w:rFonts w:eastAsiaTheme="minorEastAsia"/>
        </w:rPr>
      </w:pPr>
      <w:r>
        <w:rPr>
          <w:rFonts w:eastAsiaTheme="minorEastAsia"/>
        </w:rPr>
        <w:t xml:space="preserve">Its decision and policy-making system is all inclusive. There </w:t>
      </w:r>
      <w:r w:rsidR="002B78CF">
        <w:rPr>
          <w:rFonts w:eastAsiaTheme="minorEastAsia"/>
        </w:rPr>
        <w:t>is</w:t>
      </w:r>
      <w:r>
        <w:rPr>
          <w:rFonts w:eastAsiaTheme="minorEastAsia"/>
        </w:rPr>
        <w:t xml:space="preserve"> no differentiation between the leadership or the management and the subordinates.</w:t>
      </w:r>
    </w:p>
    <w:p w14:paraId="001C2851" w14:textId="4D2A31C3" w:rsidR="00A22522" w:rsidRDefault="00A22522" w:rsidP="00A22522">
      <w:pPr>
        <w:pStyle w:val="ListParagraph"/>
        <w:numPr>
          <w:ilvl w:val="0"/>
          <w:numId w:val="11"/>
        </w:numPr>
        <w:jc w:val="both"/>
        <w:rPr>
          <w:rFonts w:eastAsiaTheme="minorEastAsia"/>
        </w:rPr>
      </w:pPr>
      <w:r>
        <w:rPr>
          <w:rFonts w:eastAsiaTheme="minorEastAsia"/>
        </w:rPr>
        <w:t>Its effectiveness requires th</w:t>
      </w:r>
      <w:r w:rsidR="002B78CF">
        <w:rPr>
          <w:rFonts w:eastAsiaTheme="minorEastAsia"/>
        </w:rPr>
        <w:t>at</w:t>
      </w:r>
      <w:r>
        <w:rPr>
          <w:rFonts w:eastAsiaTheme="minorEastAsia"/>
        </w:rPr>
        <w:t xml:space="preserve"> primary interpersonal relations prevail among its members.” (Ramos, pages 131-132)</w:t>
      </w:r>
    </w:p>
    <w:p w14:paraId="534354A3" w14:textId="77777777" w:rsidR="00A22522" w:rsidRDefault="00A22522" w:rsidP="00A22522">
      <w:pPr>
        <w:pStyle w:val="ListParagraph"/>
        <w:jc w:val="both"/>
        <w:rPr>
          <w:rFonts w:eastAsiaTheme="minorEastAsia"/>
        </w:rPr>
      </w:pPr>
    </w:p>
    <w:p w14:paraId="5912C74F" w14:textId="77777777" w:rsidR="00A22522" w:rsidRDefault="00A22522" w:rsidP="00A22522">
      <w:pPr>
        <w:pStyle w:val="ListParagraph"/>
        <w:ind w:left="0"/>
        <w:jc w:val="both"/>
        <w:rPr>
          <w:rFonts w:eastAsiaTheme="minorEastAsia"/>
        </w:rPr>
      </w:pPr>
      <w:r>
        <w:rPr>
          <w:rFonts w:eastAsiaTheme="minorEastAsia"/>
        </w:rPr>
        <w:t>Some typical examples are: “…PTAs (Parent-teacher associations), student and minority associations, urban communities, worker-owned firms, some artistic and religious associations, local associations of consumers, groups and citizens concerned with community issues and problems…” (Ramos, page 132)</w:t>
      </w:r>
    </w:p>
    <w:p w14:paraId="4074FE9C" w14:textId="77777777" w:rsidR="00A22522" w:rsidRDefault="00A22522" w:rsidP="00A22522">
      <w:pPr>
        <w:pStyle w:val="ListParagraph"/>
        <w:ind w:left="0"/>
        <w:jc w:val="both"/>
        <w:rPr>
          <w:rFonts w:eastAsiaTheme="minorEastAsia"/>
        </w:rPr>
      </w:pPr>
    </w:p>
    <w:p w14:paraId="1E8BB5B1" w14:textId="77777777" w:rsidR="00A22522" w:rsidRDefault="00A22522" w:rsidP="00A22522">
      <w:pPr>
        <w:pStyle w:val="ListParagraph"/>
        <w:ind w:left="0"/>
        <w:jc w:val="both"/>
        <w:rPr>
          <w:rFonts w:eastAsiaTheme="minorEastAsia"/>
          <w:u w:val="single"/>
        </w:rPr>
      </w:pPr>
      <w:r>
        <w:rPr>
          <w:rFonts w:eastAsiaTheme="minorEastAsia"/>
          <w:u w:val="single"/>
        </w:rPr>
        <w:t>Phenonomy</w:t>
      </w:r>
    </w:p>
    <w:p w14:paraId="70C6124D" w14:textId="77777777" w:rsidR="00A22522" w:rsidRDefault="00A22522" w:rsidP="00A22522">
      <w:pPr>
        <w:pStyle w:val="ListParagraph"/>
        <w:ind w:left="0"/>
        <w:jc w:val="both"/>
        <w:rPr>
          <w:rFonts w:eastAsiaTheme="minorEastAsia"/>
          <w:u w:val="single"/>
        </w:rPr>
      </w:pPr>
    </w:p>
    <w:p w14:paraId="04491DCD" w14:textId="77777777" w:rsidR="002B78CF" w:rsidRDefault="00A22522" w:rsidP="00A22522">
      <w:pPr>
        <w:pStyle w:val="ListParagraph"/>
        <w:ind w:left="0"/>
        <w:jc w:val="both"/>
        <w:rPr>
          <w:rFonts w:eastAsiaTheme="minorEastAsia"/>
        </w:rPr>
      </w:pPr>
      <w:r>
        <w:rPr>
          <w:rFonts w:eastAsiaTheme="minorEastAsia"/>
        </w:rPr>
        <w:t xml:space="preserve">“This is a breakthrough social setting, either sporadic or more or less stable, initiated and run by an individual or a small group. It entails for its members the maximum degree of personal choice and a minimum degree of subordination to formal operational prescription.” (Ramos, page 132) </w:t>
      </w:r>
    </w:p>
    <w:p w14:paraId="646AF9D0" w14:textId="77777777" w:rsidR="002B78CF" w:rsidRDefault="002B78CF" w:rsidP="00A22522">
      <w:pPr>
        <w:pStyle w:val="ListParagraph"/>
        <w:ind w:left="0"/>
        <w:jc w:val="both"/>
        <w:rPr>
          <w:rFonts w:eastAsiaTheme="minorEastAsia"/>
        </w:rPr>
      </w:pPr>
    </w:p>
    <w:p w14:paraId="79B90D5A" w14:textId="76FE8C88" w:rsidR="00A22522" w:rsidRDefault="00A22522" w:rsidP="00A22522">
      <w:pPr>
        <w:pStyle w:val="ListParagraph"/>
        <w:ind w:left="0"/>
        <w:jc w:val="both"/>
        <w:rPr>
          <w:rFonts w:eastAsiaTheme="minorEastAsia"/>
        </w:rPr>
      </w:pPr>
      <w:r>
        <w:rPr>
          <w:rFonts w:eastAsiaTheme="minorEastAsia"/>
        </w:rPr>
        <w:t>Key characteristics are:</w:t>
      </w:r>
    </w:p>
    <w:p w14:paraId="1E6233CC" w14:textId="77777777" w:rsidR="002B78CF" w:rsidRDefault="002B78CF" w:rsidP="00A22522">
      <w:pPr>
        <w:pStyle w:val="ListParagraph"/>
        <w:ind w:left="0"/>
        <w:jc w:val="both"/>
        <w:rPr>
          <w:rFonts w:eastAsiaTheme="minorEastAsia"/>
        </w:rPr>
      </w:pPr>
    </w:p>
    <w:p w14:paraId="4B423FCA" w14:textId="77777777" w:rsidR="00A22522" w:rsidRDefault="00A22522" w:rsidP="00A22522">
      <w:pPr>
        <w:pStyle w:val="ListParagraph"/>
        <w:numPr>
          <w:ilvl w:val="0"/>
          <w:numId w:val="12"/>
        </w:numPr>
        <w:jc w:val="both"/>
        <w:rPr>
          <w:rFonts w:eastAsiaTheme="minorEastAsia"/>
        </w:rPr>
      </w:pPr>
      <w:r>
        <w:rPr>
          <w:rFonts w:eastAsiaTheme="minorEastAsia"/>
        </w:rPr>
        <w:t>“It is constituted as a setting necessary for people to release their creativity in autonomously selected forms and ways, and is part of the expressive endeavor…..which mobilizes the creative efforts of a small group or a single individual.</w:t>
      </w:r>
    </w:p>
    <w:p w14:paraId="4795F93B" w14:textId="77777777" w:rsidR="00A22522" w:rsidRDefault="00A22522" w:rsidP="00A22522">
      <w:pPr>
        <w:pStyle w:val="ListParagraph"/>
        <w:numPr>
          <w:ilvl w:val="0"/>
          <w:numId w:val="12"/>
        </w:numPr>
        <w:jc w:val="both"/>
        <w:rPr>
          <w:rFonts w:eastAsiaTheme="minorEastAsia"/>
        </w:rPr>
      </w:pPr>
      <w:r>
        <w:rPr>
          <w:rFonts w:eastAsiaTheme="minorEastAsia"/>
        </w:rPr>
        <w:t>Its members are engaged only in self-selected works.</w:t>
      </w:r>
    </w:p>
    <w:p w14:paraId="5F8725E5" w14:textId="77777777" w:rsidR="00A22522" w:rsidRDefault="00A22522" w:rsidP="00A22522">
      <w:pPr>
        <w:pStyle w:val="ListParagraph"/>
        <w:numPr>
          <w:ilvl w:val="0"/>
          <w:numId w:val="12"/>
        </w:numPr>
        <w:jc w:val="both"/>
        <w:rPr>
          <w:rFonts w:eastAsiaTheme="minorEastAsia"/>
        </w:rPr>
      </w:pPr>
      <w:r>
        <w:rPr>
          <w:rFonts w:eastAsiaTheme="minorEastAsia"/>
        </w:rPr>
        <w:t>Although the output of activities undertaken in phenonomies can eventually be marketable, economizing criteria are incidental to the orientation of their members.</w:t>
      </w:r>
    </w:p>
    <w:p w14:paraId="5EC5BDBF" w14:textId="3869CC49" w:rsidR="00A22522" w:rsidRDefault="00A22522" w:rsidP="00A22522">
      <w:pPr>
        <w:pStyle w:val="ListParagraph"/>
        <w:numPr>
          <w:ilvl w:val="0"/>
          <w:numId w:val="12"/>
        </w:numPr>
        <w:jc w:val="both"/>
        <w:rPr>
          <w:rFonts w:eastAsiaTheme="minorEastAsia"/>
        </w:rPr>
      </w:pPr>
      <w:r>
        <w:rPr>
          <w:rFonts w:eastAsiaTheme="minorEastAsia"/>
        </w:rPr>
        <w:t>Although concerned with his or her uniqueness, the member of a phenonomy is socially mindful. Actually</w:t>
      </w:r>
      <w:r w:rsidR="002B78CF">
        <w:rPr>
          <w:rFonts w:eastAsiaTheme="minorEastAsia"/>
        </w:rPr>
        <w:t>,</w:t>
      </w:r>
      <w:r>
        <w:rPr>
          <w:rFonts w:eastAsiaTheme="minorEastAsia"/>
        </w:rPr>
        <w:t xml:space="preserve"> his or her choice is not to withdraw from society at large, but to sensitize </w:t>
      </w:r>
      <w:r>
        <w:rPr>
          <w:rFonts w:eastAsiaTheme="minorEastAsia"/>
        </w:rPr>
        <w:lastRenderedPageBreak/>
        <w:t>other individuals for possible experiences that they are able to share or appreciate.” (Ramos, pages 132 – 133)</w:t>
      </w:r>
    </w:p>
    <w:p w14:paraId="630D3661" w14:textId="77777777" w:rsidR="00A22522" w:rsidRPr="006969A7" w:rsidRDefault="00A22522" w:rsidP="00A22522">
      <w:pPr>
        <w:pStyle w:val="ListParagraph"/>
        <w:jc w:val="both"/>
        <w:rPr>
          <w:rFonts w:eastAsiaTheme="minorEastAsia"/>
        </w:rPr>
      </w:pPr>
    </w:p>
    <w:p w14:paraId="7DF94005" w14:textId="7393D2F9" w:rsidR="00A22522" w:rsidRDefault="00A22522" w:rsidP="0092183E">
      <w:pPr>
        <w:spacing w:line="240" w:lineRule="auto"/>
        <w:jc w:val="both"/>
        <w:rPr>
          <w:rFonts w:ascii="Times New Roman" w:eastAsiaTheme="minorEastAsia" w:hAnsi="Times New Roman" w:cs="Times New Roman"/>
          <w:sz w:val="24"/>
          <w:szCs w:val="24"/>
        </w:rPr>
      </w:pPr>
      <w:r w:rsidRPr="006969A7">
        <w:rPr>
          <w:rFonts w:ascii="Times New Roman" w:eastAsiaTheme="minorEastAsia" w:hAnsi="Times New Roman" w:cs="Times New Roman"/>
          <w:sz w:val="24"/>
          <w:szCs w:val="24"/>
        </w:rPr>
        <w:t>Some typical examples are: “…</w:t>
      </w:r>
      <w:r>
        <w:rPr>
          <w:rFonts w:ascii="Times New Roman" w:eastAsiaTheme="minorEastAsia" w:hAnsi="Times New Roman" w:cs="Times New Roman"/>
          <w:sz w:val="24"/>
          <w:szCs w:val="24"/>
        </w:rPr>
        <w:t>The gifted housewife and husband who systematically reserve a spot in their home to engage in creative pursuits like design and production of rugs, pottery, or paintings, as well as the workshops of free</w:t>
      </w:r>
      <w:r w:rsidR="00FD65A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lance artists, writers, journalists, craftsmen, inventors and so forth.” (Ramos, page 133)</w:t>
      </w:r>
    </w:p>
    <w:p w14:paraId="383EEDF3" w14:textId="2D7D84FB" w:rsidR="00E043DB" w:rsidRPr="00A12A49" w:rsidRDefault="005562BD" w:rsidP="0092183E">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Once dis</w:t>
      </w:r>
      <w:r w:rsidR="00CB7521">
        <w:rPr>
          <w:rFonts w:ascii="Times New Roman" w:eastAsiaTheme="minorEastAsia" w:hAnsi="Times New Roman" w:cs="Times New Roman"/>
          <w:sz w:val="24"/>
          <w:szCs w:val="24"/>
        </w:rPr>
        <w:t>tinguished</w:t>
      </w:r>
      <w:r>
        <w:rPr>
          <w:rFonts w:ascii="Times New Roman" w:eastAsiaTheme="minorEastAsia" w:hAnsi="Times New Roman" w:cs="Times New Roman"/>
          <w:sz w:val="24"/>
          <w:szCs w:val="24"/>
        </w:rPr>
        <w:t xml:space="preserve">, we </w:t>
      </w:r>
      <w:r w:rsidR="00D751F8">
        <w:rPr>
          <w:rFonts w:ascii="Times New Roman" w:eastAsiaTheme="minorEastAsia" w:hAnsi="Times New Roman" w:cs="Times New Roman"/>
          <w:sz w:val="24"/>
          <w:szCs w:val="24"/>
        </w:rPr>
        <w:t xml:space="preserve">can </w:t>
      </w:r>
      <w:r>
        <w:rPr>
          <w:rFonts w:ascii="Times New Roman" w:eastAsiaTheme="minorEastAsia" w:hAnsi="Times New Roman" w:cs="Times New Roman"/>
          <w:sz w:val="24"/>
          <w:szCs w:val="24"/>
        </w:rPr>
        <w:t xml:space="preserve">start to see that </w:t>
      </w:r>
      <w:r w:rsidR="00A12A49">
        <w:rPr>
          <w:rFonts w:ascii="Times New Roman" w:eastAsiaTheme="minorEastAsia" w:hAnsi="Times New Roman" w:cs="Times New Roman"/>
          <w:sz w:val="24"/>
          <w:szCs w:val="24"/>
        </w:rPr>
        <w:t xml:space="preserve">Isonomies and Phenonomies can expand the playing field for the development and implementation of public policy. </w:t>
      </w:r>
      <w:r w:rsidR="00674931">
        <w:rPr>
          <w:rFonts w:ascii="Times New Roman" w:hAnsi="Times New Roman" w:cs="Times New Roman"/>
          <w:sz w:val="24"/>
          <w:szCs w:val="24"/>
        </w:rPr>
        <w:t xml:space="preserve">To explore this notion further, lets </w:t>
      </w:r>
      <w:r w:rsidR="008C25D9">
        <w:rPr>
          <w:rFonts w:ascii="Times New Roman" w:hAnsi="Times New Roman" w:cs="Times New Roman"/>
          <w:sz w:val="24"/>
          <w:szCs w:val="24"/>
        </w:rPr>
        <w:t>look more closely at</w:t>
      </w:r>
      <w:r w:rsidR="00674931">
        <w:rPr>
          <w:rFonts w:ascii="Times New Roman" w:hAnsi="Times New Roman" w:cs="Times New Roman"/>
          <w:sz w:val="24"/>
          <w:szCs w:val="24"/>
        </w:rPr>
        <w:t xml:space="preserve"> two major problems </w:t>
      </w:r>
      <w:r w:rsidR="008C25D9">
        <w:rPr>
          <w:rFonts w:ascii="Times New Roman" w:hAnsi="Times New Roman" w:cs="Times New Roman"/>
          <w:sz w:val="24"/>
          <w:szCs w:val="24"/>
        </w:rPr>
        <w:t xml:space="preserve">that are </w:t>
      </w:r>
      <w:r w:rsidR="00A12A49">
        <w:rPr>
          <w:rFonts w:ascii="Times New Roman" w:hAnsi="Times New Roman" w:cs="Times New Roman"/>
          <w:sz w:val="24"/>
          <w:szCs w:val="24"/>
        </w:rPr>
        <w:t>about to</w:t>
      </w:r>
      <w:r w:rsidR="00674931">
        <w:rPr>
          <w:rFonts w:ascii="Times New Roman" w:hAnsi="Times New Roman" w:cs="Times New Roman"/>
          <w:sz w:val="24"/>
          <w:szCs w:val="24"/>
        </w:rPr>
        <w:t xml:space="preserve"> confront administrators and the field of Public Administration: the future of productive effort</w:t>
      </w:r>
      <w:r w:rsidR="00A12A49">
        <w:rPr>
          <w:rFonts w:ascii="Times New Roman" w:hAnsi="Times New Roman" w:cs="Times New Roman"/>
          <w:sz w:val="24"/>
          <w:szCs w:val="24"/>
        </w:rPr>
        <w:t xml:space="preserve"> where the traditional concept of a job may no longer apply</w:t>
      </w:r>
      <w:r w:rsidR="00674931">
        <w:rPr>
          <w:rFonts w:ascii="Times New Roman" w:hAnsi="Times New Roman" w:cs="Times New Roman"/>
          <w:sz w:val="24"/>
          <w:szCs w:val="24"/>
        </w:rPr>
        <w:t>, and the future of local government budget processes</w:t>
      </w:r>
      <w:r w:rsidR="00A12A49">
        <w:rPr>
          <w:rFonts w:ascii="Times New Roman" w:hAnsi="Times New Roman" w:cs="Times New Roman"/>
          <w:sz w:val="24"/>
          <w:szCs w:val="24"/>
        </w:rPr>
        <w:t xml:space="preserve"> which may be called upon to allocate resources</w:t>
      </w:r>
      <w:r w:rsidR="002B78CF">
        <w:rPr>
          <w:rFonts w:ascii="Times New Roman" w:hAnsi="Times New Roman" w:cs="Times New Roman"/>
          <w:sz w:val="24"/>
          <w:szCs w:val="24"/>
        </w:rPr>
        <w:t xml:space="preserve"> not only to deliver public </w:t>
      </w:r>
      <w:r w:rsidR="007279FA">
        <w:rPr>
          <w:rFonts w:ascii="Times New Roman" w:hAnsi="Times New Roman" w:cs="Times New Roman"/>
          <w:sz w:val="24"/>
          <w:szCs w:val="24"/>
        </w:rPr>
        <w:t xml:space="preserve">goods and </w:t>
      </w:r>
      <w:r w:rsidR="002B78CF">
        <w:rPr>
          <w:rFonts w:ascii="Times New Roman" w:hAnsi="Times New Roman" w:cs="Times New Roman"/>
          <w:sz w:val="24"/>
          <w:szCs w:val="24"/>
        </w:rPr>
        <w:t>services but to also</w:t>
      </w:r>
      <w:r w:rsidR="00A12A49">
        <w:rPr>
          <w:rFonts w:ascii="Times New Roman" w:hAnsi="Times New Roman" w:cs="Times New Roman"/>
          <w:sz w:val="24"/>
          <w:szCs w:val="24"/>
        </w:rPr>
        <w:t xml:space="preserve"> to bring about wellbeing of its citizens</w:t>
      </w:r>
      <w:r w:rsidR="002B78CF">
        <w:rPr>
          <w:rFonts w:ascii="Times New Roman" w:hAnsi="Times New Roman" w:cs="Times New Roman"/>
          <w:sz w:val="24"/>
          <w:szCs w:val="24"/>
        </w:rPr>
        <w:t>.</w:t>
      </w:r>
    </w:p>
    <w:p w14:paraId="3FB769F7" w14:textId="77777777" w:rsidR="00AE0C6F" w:rsidRDefault="00AE0C6F" w:rsidP="00E043DB">
      <w:pPr>
        <w:spacing w:after="0" w:line="240" w:lineRule="auto"/>
        <w:jc w:val="both"/>
        <w:rPr>
          <w:rFonts w:ascii="Times New Roman" w:hAnsi="Times New Roman" w:cs="Times New Roman"/>
          <w:b/>
          <w:sz w:val="24"/>
          <w:szCs w:val="24"/>
          <w:u w:val="single"/>
        </w:rPr>
      </w:pPr>
    </w:p>
    <w:p w14:paraId="3A315EF2" w14:textId="0C1B8B22" w:rsidR="00E043DB" w:rsidRDefault="006E26A5" w:rsidP="00E043D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The True Wealth of Nations---The Future of Productive Effort</w:t>
      </w:r>
    </w:p>
    <w:p w14:paraId="4D297DD1" w14:textId="4BCCA519" w:rsidR="00FD0DCB" w:rsidRDefault="00FD0DCB" w:rsidP="00E043DB">
      <w:pPr>
        <w:spacing w:after="0" w:line="240" w:lineRule="auto"/>
        <w:jc w:val="both"/>
        <w:rPr>
          <w:rFonts w:ascii="Times New Roman" w:hAnsi="Times New Roman" w:cs="Times New Roman"/>
          <w:b/>
          <w:sz w:val="24"/>
          <w:szCs w:val="24"/>
          <w:u w:val="single"/>
        </w:rPr>
      </w:pPr>
    </w:p>
    <w:p w14:paraId="23B1628D" w14:textId="7D993D94" w:rsidR="00FD0DCB" w:rsidRPr="008F725A" w:rsidRDefault="00FD0DCB" w:rsidP="00E043DB">
      <w:pPr>
        <w:spacing w:after="0" w:line="240" w:lineRule="auto"/>
        <w:jc w:val="both"/>
        <w:rPr>
          <w:rFonts w:ascii="Times New Roman" w:hAnsi="Times New Roman" w:cs="Times New Roman"/>
          <w:i/>
          <w:sz w:val="20"/>
          <w:szCs w:val="20"/>
        </w:rPr>
      </w:pPr>
      <w:r>
        <w:rPr>
          <w:rFonts w:ascii="Times New Roman" w:hAnsi="Times New Roman" w:cs="Times New Roman"/>
          <w:sz w:val="24"/>
          <w:szCs w:val="24"/>
        </w:rPr>
        <w:t xml:space="preserve">           </w:t>
      </w:r>
      <w:r w:rsidR="004A01F2" w:rsidRPr="008F725A">
        <w:rPr>
          <w:rFonts w:ascii="Times New Roman" w:hAnsi="Times New Roman" w:cs="Times New Roman"/>
          <w:sz w:val="20"/>
          <w:szCs w:val="20"/>
        </w:rPr>
        <w:t>“</w:t>
      </w:r>
      <w:r w:rsidRPr="008F725A">
        <w:rPr>
          <w:rFonts w:ascii="Times New Roman" w:hAnsi="Times New Roman" w:cs="Times New Roman"/>
          <w:i/>
          <w:sz w:val="20"/>
          <w:szCs w:val="20"/>
        </w:rPr>
        <w:t xml:space="preserve">We have come to the point where we must make the nonproducer a consumer or we will find ourselves </w:t>
      </w:r>
    </w:p>
    <w:p w14:paraId="3952077E" w14:textId="71197BAF" w:rsidR="00FD0DCB" w:rsidRPr="008F725A" w:rsidRDefault="00FD0DCB" w:rsidP="00E043DB">
      <w:pPr>
        <w:spacing w:after="0" w:line="240" w:lineRule="auto"/>
        <w:jc w:val="both"/>
        <w:rPr>
          <w:rFonts w:ascii="Times New Roman" w:hAnsi="Times New Roman" w:cs="Times New Roman"/>
          <w:i/>
          <w:sz w:val="20"/>
          <w:szCs w:val="20"/>
        </w:rPr>
      </w:pPr>
      <w:r w:rsidRPr="008F725A">
        <w:rPr>
          <w:rFonts w:ascii="Times New Roman" w:hAnsi="Times New Roman" w:cs="Times New Roman"/>
          <w:i/>
          <w:sz w:val="20"/>
          <w:szCs w:val="20"/>
        </w:rPr>
        <w:t xml:space="preserve">               </w:t>
      </w:r>
      <w:r w:rsidR="0073305B">
        <w:rPr>
          <w:rFonts w:ascii="Times New Roman" w:hAnsi="Times New Roman" w:cs="Times New Roman"/>
          <w:i/>
          <w:sz w:val="20"/>
          <w:szCs w:val="20"/>
        </w:rPr>
        <w:t>drow</w:t>
      </w:r>
      <w:r w:rsidR="00954FC8">
        <w:rPr>
          <w:rFonts w:ascii="Times New Roman" w:hAnsi="Times New Roman" w:cs="Times New Roman"/>
          <w:i/>
          <w:sz w:val="20"/>
          <w:szCs w:val="20"/>
        </w:rPr>
        <w:t>n</w:t>
      </w:r>
      <w:r w:rsidR="0073305B">
        <w:rPr>
          <w:rFonts w:ascii="Times New Roman" w:hAnsi="Times New Roman" w:cs="Times New Roman"/>
          <w:i/>
          <w:sz w:val="20"/>
          <w:szCs w:val="20"/>
        </w:rPr>
        <w:t>ing</w:t>
      </w:r>
      <w:r w:rsidRPr="008F725A">
        <w:rPr>
          <w:rFonts w:ascii="Times New Roman" w:hAnsi="Times New Roman" w:cs="Times New Roman"/>
          <w:i/>
          <w:sz w:val="20"/>
          <w:szCs w:val="20"/>
        </w:rPr>
        <w:t xml:space="preserve"> in a sea of consumer goods… The problem indicat</w:t>
      </w:r>
      <w:r w:rsidR="0073305B">
        <w:rPr>
          <w:rFonts w:ascii="Times New Roman" w:hAnsi="Times New Roman" w:cs="Times New Roman"/>
          <w:i/>
          <w:sz w:val="20"/>
          <w:szCs w:val="20"/>
        </w:rPr>
        <w:t xml:space="preserve">es that </w:t>
      </w:r>
      <w:r w:rsidRPr="008F725A">
        <w:rPr>
          <w:rFonts w:ascii="Times New Roman" w:hAnsi="Times New Roman" w:cs="Times New Roman"/>
          <w:i/>
          <w:sz w:val="20"/>
          <w:szCs w:val="20"/>
        </w:rPr>
        <w:t>our emphasis must be two-fold. We must</w:t>
      </w:r>
    </w:p>
    <w:p w14:paraId="6045A7F3" w14:textId="69CA8F59" w:rsidR="00FD0DCB" w:rsidRDefault="00FD0DCB" w:rsidP="00E043DB">
      <w:pPr>
        <w:spacing w:after="0" w:line="240" w:lineRule="auto"/>
        <w:jc w:val="both"/>
        <w:rPr>
          <w:rFonts w:ascii="Times New Roman" w:hAnsi="Times New Roman" w:cs="Times New Roman"/>
          <w:i/>
          <w:sz w:val="20"/>
          <w:szCs w:val="20"/>
        </w:rPr>
      </w:pPr>
      <w:r w:rsidRPr="008F725A">
        <w:rPr>
          <w:rFonts w:ascii="Times New Roman" w:hAnsi="Times New Roman" w:cs="Times New Roman"/>
          <w:i/>
          <w:sz w:val="20"/>
          <w:szCs w:val="20"/>
        </w:rPr>
        <w:t xml:space="preserve">               </w:t>
      </w:r>
      <w:r w:rsidR="0073305B">
        <w:rPr>
          <w:rFonts w:ascii="Times New Roman" w:hAnsi="Times New Roman" w:cs="Times New Roman"/>
          <w:i/>
          <w:sz w:val="20"/>
          <w:szCs w:val="20"/>
        </w:rPr>
        <w:t>create full employ</w:t>
      </w:r>
      <w:r w:rsidRPr="008F725A">
        <w:rPr>
          <w:rFonts w:ascii="Times New Roman" w:hAnsi="Times New Roman" w:cs="Times New Roman"/>
          <w:i/>
          <w:sz w:val="20"/>
          <w:szCs w:val="20"/>
        </w:rPr>
        <w:t xml:space="preserve">ment or we must create incomes. People </w:t>
      </w:r>
      <w:r w:rsidR="00954FC8">
        <w:rPr>
          <w:rFonts w:ascii="Times New Roman" w:hAnsi="Times New Roman" w:cs="Times New Roman"/>
          <w:i/>
          <w:sz w:val="20"/>
          <w:szCs w:val="20"/>
        </w:rPr>
        <w:t>must be made</w:t>
      </w:r>
      <w:r w:rsidRPr="008F725A">
        <w:rPr>
          <w:rFonts w:ascii="Times New Roman" w:hAnsi="Times New Roman" w:cs="Times New Roman"/>
          <w:i/>
          <w:sz w:val="20"/>
          <w:szCs w:val="20"/>
        </w:rPr>
        <w:t xml:space="preserve"> consumers by one method or the </w:t>
      </w:r>
    </w:p>
    <w:p w14:paraId="66DC3AC0" w14:textId="77777777" w:rsidR="00954FC8" w:rsidRDefault="00954FC8" w:rsidP="00E043DB">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other. Once they are placed </w:t>
      </w:r>
      <w:r w:rsidR="00FD0DCB" w:rsidRPr="008F725A">
        <w:rPr>
          <w:rFonts w:ascii="Times New Roman" w:hAnsi="Times New Roman" w:cs="Times New Roman"/>
          <w:i/>
          <w:sz w:val="20"/>
          <w:szCs w:val="20"/>
        </w:rPr>
        <w:t>in this position</w:t>
      </w:r>
      <w:r w:rsidR="00B935A7" w:rsidRPr="008F725A">
        <w:rPr>
          <w:rFonts w:ascii="Times New Roman" w:hAnsi="Times New Roman" w:cs="Times New Roman"/>
          <w:i/>
          <w:sz w:val="20"/>
          <w:szCs w:val="20"/>
        </w:rPr>
        <w:t>, we need to be concerned that the potential of the individual is</w:t>
      </w:r>
    </w:p>
    <w:p w14:paraId="54EDDC0A" w14:textId="3DDDB5EE" w:rsidR="00B935A7" w:rsidRPr="008F725A" w:rsidRDefault="00954FC8" w:rsidP="00E043DB">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not wasted. New forms of work that</w:t>
      </w:r>
      <w:r w:rsidR="00B935A7" w:rsidRPr="008F725A">
        <w:rPr>
          <w:rFonts w:ascii="Times New Roman" w:hAnsi="Times New Roman" w:cs="Times New Roman"/>
          <w:i/>
          <w:sz w:val="20"/>
          <w:szCs w:val="20"/>
        </w:rPr>
        <w:t xml:space="preserve"> enhance the social good will have to be devised for those</w:t>
      </w:r>
      <w:r>
        <w:rPr>
          <w:rFonts w:ascii="Times New Roman" w:hAnsi="Times New Roman" w:cs="Times New Roman"/>
          <w:i/>
          <w:sz w:val="20"/>
          <w:szCs w:val="20"/>
        </w:rPr>
        <w:t xml:space="preserve"> for whom</w:t>
      </w:r>
    </w:p>
    <w:p w14:paraId="079E9307" w14:textId="1E535219" w:rsidR="00B935A7" w:rsidRPr="008F725A" w:rsidRDefault="00B935A7" w:rsidP="00E043DB">
      <w:pPr>
        <w:spacing w:after="0" w:line="240" w:lineRule="auto"/>
        <w:jc w:val="both"/>
        <w:rPr>
          <w:rFonts w:ascii="Times New Roman" w:hAnsi="Times New Roman" w:cs="Times New Roman"/>
          <w:i/>
          <w:sz w:val="20"/>
          <w:szCs w:val="20"/>
        </w:rPr>
      </w:pPr>
      <w:r w:rsidRPr="008F725A">
        <w:rPr>
          <w:rFonts w:ascii="Times New Roman" w:hAnsi="Times New Roman" w:cs="Times New Roman"/>
          <w:i/>
          <w:sz w:val="20"/>
          <w:szCs w:val="20"/>
        </w:rPr>
        <w:t xml:space="preserve">              traditional jobs are not available.</w:t>
      </w:r>
    </w:p>
    <w:p w14:paraId="3C298E07" w14:textId="7626A822" w:rsidR="00B935A7" w:rsidRPr="008F725A" w:rsidRDefault="00B935A7" w:rsidP="00E043DB">
      <w:pPr>
        <w:spacing w:after="0" w:line="240" w:lineRule="auto"/>
        <w:jc w:val="both"/>
        <w:rPr>
          <w:rFonts w:ascii="Times New Roman" w:hAnsi="Times New Roman" w:cs="Times New Roman"/>
          <w:i/>
          <w:sz w:val="20"/>
          <w:szCs w:val="20"/>
        </w:rPr>
      </w:pPr>
      <w:r w:rsidRPr="008F725A">
        <w:rPr>
          <w:rFonts w:ascii="Times New Roman" w:hAnsi="Times New Roman" w:cs="Times New Roman"/>
          <w:i/>
          <w:sz w:val="20"/>
          <w:szCs w:val="20"/>
        </w:rPr>
        <w:t xml:space="preserve">         </w:t>
      </w:r>
    </w:p>
    <w:p w14:paraId="02071615" w14:textId="57295B30" w:rsidR="00F44225" w:rsidRDefault="00B935A7" w:rsidP="00E043DB">
      <w:pPr>
        <w:spacing w:after="0" w:line="240" w:lineRule="auto"/>
        <w:jc w:val="both"/>
        <w:rPr>
          <w:rFonts w:ascii="Times New Roman" w:hAnsi="Times New Roman" w:cs="Times New Roman"/>
          <w:i/>
          <w:sz w:val="20"/>
          <w:szCs w:val="20"/>
        </w:rPr>
      </w:pPr>
      <w:r w:rsidRPr="008F725A">
        <w:rPr>
          <w:rFonts w:ascii="Times New Roman" w:hAnsi="Times New Roman" w:cs="Times New Roman"/>
          <w:i/>
          <w:sz w:val="20"/>
          <w:szCs w:val="20"/>
        </w:rPr>
        <w:t xml:space="preserve">              In 1879 Henry George anticipated this state of affairs wh</w:t>
      </w:r>
      <w:r w:rsidR="00954FC8">
        <w:rPr>
          <w:rFonts w:ascii="Times New Roman" w:hAnsi="Times New Roman" w:cs="Times New Roman"/>
          <w:i/>
          <w:sz w:val="20"/>
          <w:szCs w:val="20"/>
        </w:rPr>
        <w:t>en</w:t>
      </w:r>
      <w:r w:rsidRPr="008F725A">
        <w:rPr>
          <w:rFonts w:ascii="Times New Roman" w:hAnsi="Times New Roman" w:cs="Times New Roman"/>
          <w:i/>
          <w:sz w:val="20"/>
          <w:szCs w:val="20"/>
        </w:rPr>
        <w:t xml:space="preserve"> he wrote, in Poverty and Progress</w:t>
      </w:r>
      <w:r w:rsidR="00F44225" w:rsidRPr="008F725A">
        <w:rPr>
          <w:rFonts w:ascii="Times New Roman" w:hAnsi="Times New Roman" w:cs="Times New Roman"/>
          <w:i/>
          <w:sz w:val="20"/>
          <w:szCs w:val="20"/>
        </w:rPr>
        <w:t>:</w:t>
      </w:r>
    </w:p>
    <w:p w14:paraId="689C1E52" w14:textId="77777777" w:rsidR="00AD10DE" w:rsidRPr="008F725A" w:rsidRDefault="00AD10DE" w:rsidP="00E043DB">
      <w:pPr>
        <w:spacing w:after="0" w:line="240" w:lineRule="auto"/>
        <w:jc w:val="both"/>
        <w:rPr>
          <w:rFonts w:ascii="Times New Roman" w:hAnsi="Times New Roman" w:cs="Times New Roman"/>
          <w:i/>
          <w:sz w:val="20"/>
          <w:szCs w:val="20"/>
        </w:rPr>
      </w:pPr>
    </w:p>
    <w:p w14:paraId="038B9E33" w14:textId="43636B3F" w:rsidR="005873E8" w:rsidRPr="008F725A" w:rsidRDefault="005873E8" w:rsidP="00E043DB">
      <w:pPr>
        <w:spacing w:after="0" w:line="240" w:lineRule="auto"/>
        <w:jc w:val="both"/>
        <w:rPr>
          <w:rFonts w:ascii="Times New Roman" w:hAnsi="Times New Roman" w:cs="Times New Roman"/>
          <w:i/>
          <w:sz w:val="20"/>
          <w:szCs w:val="20"/>
        </w:rPr>
      </w:pPr>
      <w:r w:rsidRPr="008F725A">
        <w:rPr>
          <w:rFonts w:ascii="Times New Roman" w:hAnsi="Times New Roman" w:cs="Times New Roman"/>
          <w:i/>
          <w:sz w:val="20"/>
          <w:szCs w:val="20"/>
        </w:rPr>
        <w:t xml:space="preserve">             </w:t>
      </w:r>
      <w:r w:rsidR="00261FBE">
        <w:rPr>
          <w:rFonts w:ascii="Times New Roman" w:hAnsi="Times New Roman" w:cs="Times New Roman"/>
          <w:i/>
          <w:sz w:val="20"/>
          <w:szCs w:val="20"/>
        </w:rPr>
        <w:t>‘</w:t>
      </w:r>
      <w:r w:rsidRPr="008F725A">
        <w:rPr>
          <w:rFonts w:ascii="Times New Roman" w:hAnsi="Times New Roman" w:cs="Times New Roman"/>
          <w:i/>
          <w:sz w:val="20"/>
          <w:szCs w:val="20"/>
        </w:rPr>
        <w:t>The fact is that the work which improves the condition</w:t>
      </w:r>
      <w:r w:rsidR="00954FC8">
        <w:rPr>
          <w:rFonts w:ascii="Times New Roman" w:hAnsi="Times New Roman" w:cs="Times New Roman"/>
          <w:i/>
          <w:sz w:val="20"/>
          <w:szCs w:val="20"/>
        </w:rPr>
        <w:t xml:space="preserve"> </w:t>
      </w:r>
      <w:r w:rsidRPr="008F725A">
        <w:rPr>
          <w:rFonts w:ascii="Times New Roman" w:hAnsi="Times New Roman" w:cs="Times New Roman"/>
          <w:i/>
          <w:sz w:val="20"/>
          <w:szCs w:val="20"/>
        </w:rPr>
        <w:t xml:space="preserve">of mankind, the work which extends knowledge and </w:t>
      </w:r>
    </w:p>
    <w:p w14:paraId="43B7E900" w14:textId="77D18E71" w:rsidR="005873E8" w:rsidRPr="008F725A" w:rsidRDefault="005873E8" w:rsidP="00E043DB">
      <w:pPr>
        <w:spacing w:after="0" w:line="240" w:lineRule="auto"/>
        <w:jc w:val="both"/>
        <w:rPr>
          <w:rFonts w:ascii="Times New Roman" w:hAnsi="Times New Roman" w:cs="Times New Roman"/>
          <w:i/>
          <w:sz w:val="20"/>
          <w:szCs w:val="20"/>
        </w:rPr>
      </w:pPr>
      <w:r w:rsidRPr="008F725A">
        <w:rPr>
          <w:rFonts w:ascii="Times New Roman" w:hAnsi="Times New Roman" w:cs="Times New Roman"/>
          <w:i/>
          <w:sz w:val="20"/>
          <w:szCs w:val="20"/>
        </w:rPr>
        <w:t xml:space="preserve">              increases power and enriches literature, and elevates</w:t>
      </w:r>
      <w:r w:rsidR="00954FC8">
        <w:rPr>
          <w:rFonts w:ascii="Times New Roman" w:hAnsi="Times New Roman" w:cs="Times New Roman"/>
          <w:i/>
          <w:sz w:val="20"/>
          <w:szCs w:val="20"/>
        </w:rPr>
        <w:t xml:space="preserve"> </w:t>
      </w:r>
      <w:r w:rsidRPr="008F725A">
        <w:rPr>
          <w:rFonts w:ascii="Times New Roman" w:hAnsi="Times New Roman" w:cs="Times New Roman"/>
          <w:i/>
          <w:sz w:val="20"/>
          <w:szCs w:val="20"/>
        </w:rPr>
        <w:t>thought, is not done to secure a living. It is not the work</w:t>
      </w:r>
    </w:p>
    <w:p w14:paraId="0073C29E" w14:textId="1726EC3B" w:rsidR="005873E8" w:rsidRPr="008F725A" w:rsidRDefault="005873E8" w:rsidP="00E043DB">
      <w:pPr>
        <w:spacing w:after="0" w:line="240" w:lineRule="auto"/>
        <w:jc w:val="both"/>
        <w:rPr>
          <w:rFonts w:ascii="Times New Roman" w:hAnsi="Times New Roman" w:cs="Times New Roman"/>
          <w:i/>
          <w:sz w:val="20"/>
          <w:szCs w:val="20"/>
        </w:rPr>
      </w:pPr>
      <w:r w:rsidRPr="008F725A">
        <w:rPr>
          <w:rFonts w:ascii="Times New Roman" w:hAnsi="Times New Roman" w:cs="Times New Roman"/>
          <w:i/>
          <w:sz w:val="20"/>
          <w:szCs w:val="20"/>
        </w:rPr>
        <w:t xml:space="preserve">              of slaves, driven to their task either by the lash of a</w:t>
      </w:r>
      <w:r w:rsidR="00954FC8">
        <w:rPr>
          <w:rFonts w:ascii="Times New Roman" w:hAnsi="Times New Roman" w:cs="Times New Roman"/>
          <w:i/>
          <w:sz w:val="20"/>
          <w:szCs w:val="20"/>
        </w:rPr>
        <w:t xml:space="preserve"> </w:t>
      </w:r>
      <w:r w:rsidRPr="008F725A">
        <w:rPr>
          <w:rFonts w:ascii="Times New Roman" w:hAnsi="Times New Roman" w:cs="Times New Roman"/>
          <w:i/>
          <w:sz w:val="20"/>
          <w:szCs w:val="20"/>
        </w:rPr>
        <w:t>master or by animal necessities. It is the work of men</w:t>
      </w:r>
    </w:p>
    <w:p w14:paraId="2A74FCD4" w14:textId="727434AA" w:rsidR="005873E8" w:rsidRPr="008F725A" w:rsidRDefault="005873E8" w:rsidP="00E043DB">
      <w:pPr>
        <w:spacing w:after="0" w:line="240" w:lineRule="auto"/>
        <w:jc w:val="both"/>
        <w:rPr>
          <w:rFonts w:ascii="Times New Roman" w:hAnsi="Times New Roman" w:cs="Times New Roman"/>
          <w:i/>
          <w:sz w:val="20"/>
          <w:szCs w:val="20"/>
        </w:rPr>
      </w:pPr>
      <w:r w:rsidRPr="008F725A">
        <w:rPr>
          <w:rFonts w:ascii="Times New Roman" w:hAnsi="Times New Roman" w:cs="Times New Roman"/>
          <w:i/>
          <w:sz w:val="20"/>
          <w:szCs w:val="20"/>
        </w:rPr>
        <w:t xml:space="preserve">              who perform it for its own sake, and not that they ma</w:t>
      </w:r>
      <w:r w:rsidR="00954FC8">
        <w:rPr>
          <w:rFonts w:ascii="Times New Roman" w:hAnsi="Times New Roman" w:cs="Times New Roman"/>
          <w:i/>
          <w:sz w:val="20"/>
          <w:szCs w:val="20"/>
        </w:rPr>
        <w:t>y</w:t>
      </w:r>
      <w:r w:rsidRPr="008F725A">
        <w:rPr>
          <w:rFonts w:ascii="Times New Roman" w:hAnsi="Times New Roman" w:cs="Times New Roman"/>
          <w:i/>
          <w:sz w:val="20"/>
          <w:szCs w:val="20"/>
        </w:rPr>
        <w:t xml:space="preserve"> get more to eat or drink, or wear, or d</w:t>
      </w:r>
      <w:r w:rsidR="00954FC8">
        <w:rPr>
          <w:rFonts w:ascii="Times New Roman" w:hAnsi="Times New Roman" w:cs="Times New Roman"/>
          <w:i/>
          <w:sz w:val="20"/>
          <w:szCs w:val="20"/>
        </w:rPr>
        <w:t>i</w:t>
      </w:r>
      <w:r w:rsidRPr="008F725A">
        <w:rPr>
          <w:rFonts w:ascii="Times New Roman" w:hAnsi="Times New Roman" w:cs="Times New Roman"/>
          <w:i/>
          <w:sz w:val="20"/>
          <w:szCs w:val="20"/>
        </w:rPr>
        <w:t>splay</w:t>
      </w:r>
      <w:r w:rsidR="00FB7CA7">
        <w:rPr>
          <w:rFonts w:ascii="Times New Roman" w:hAnsi="Times New Roman" w:cs="Times New Roman"/>
          <w:i/>
          <w:sz w:val="20"/>
          <w:szCs w:val="20"/>
        </w:rPr>
        <w:t>.</w:t>
      </w:r>
      <w:r w:rsidRPr="008F725A">
        <w:rPr>
          <w:rFonts w:ascii="Times New Roman" w:hAnsi="Times New Roman" w:cs="Times New Roman"/>
          <w:i/>
          <w:sz w:val="20"/>
          <w:szCs w:val="20"/>
        </w:rPr>
        <w:t xml:space="preserve"> I</w:t>
      </w:r>
      <w:r w:rsidR="00F44225" w:rsidRPr="008F725A">
        <w:rPr>
          <w:rFonts w:ascii="Times New Roman" w:hAnsi="Times New Roman" w:cs="Times New Roman"/>
          <w:i/>
          <w:sz w:val="20"/>
          <w:szCs w:val="20"/>
        </w:rPr>
        <w:t>n a state</w:t>
      </w:r>
    </w:p>
    <w:p w14:paraId="59C82FC2" w14:textId="7E510992" w:rsidR="00F44225" w:rsidRDefault="00F44225" w:rsidP="00E043DB">
      <w:pPr>
        <w:spacing w:after="0" w:line="240" w:lineRule="auto"/>
        <w:jc w:val="both"/>
        <w:rPr>
          <w:rFonts w:ascii="Times New Roman" w:hAnsi="Times New Roman" w:cs="Times New Roman"/>
          <w:i/>
          <w:sz w:val="20"/>
          <w:szCs w:val="20"/>
        </w:rPr>
      </w:pPr>
      <w:r w:rsidRPr="008F725A">
        <w:rPr>
          <w:rFonts w:ascii="Times New Roman" w:hAnsi="Times New Roman" w:cs="Times New Roman"/>
          <w:i/>
          <w:sz w:val="20"/>
          <w:szCs w:val="20"/>
        </w:rPr>
        <w:t xml:space="preserve">              of society where want is abolished, work of this sort could be enormously increased.</w:t>
      </w:r>
      <w:r w:rsidR="00261FBE">
        <w:rPr>
          <w:rFonts w:ascii="Times New Roman" w:hAnsi="Times New Roman" w:cs="Times New Roman"/>
          <w:i/>
          <w:sz w:val="20"/>
          <w:szCs w:val="20"/>
        </w:rPr>
        <w:t xml:space="preserve">’ </w:t>
      </w:r>
      <w:r w:rsidR="004A01F2" w:rsidRPr="008F725A">
        <w:rPr>
          <w:rFonts w:ascii="Times New Roman" w:hAnsi="Times New Roman" w:cs="Times New Roman"/>
          <w:i/>
          <w:sz w:val="20"/>
          <w:szCs w:val="20"/>
        </w:rPr>
        <w:t>”</w:t>
      </w:r>
      <w:r w:rsidRPr="008F725A">
        <w:rPr>
          <w:rFonts w:ascii="Times New Roman" w:hAnsi="Times New Roman" w:cs="Times New Roman"/>
          <w:i/>
          <w:sz w:val="20"/>
          <w:szCs w:val="20"/>
        </w:rPr>
        <w:t xml:space="preserve"> </w:t>
      </w:r>
      <w:r w:rsidR="00954FC8">
        <w:rPr>
          <w:rFonts w:ascii="Times New Roman" w:hAnsi="Times New Roman" w:cs="Times New Roman"/>
          <w:i/>
          <w:sz w:val="20"/>
          <w:szCs w:val="20"/>
        </w:rPr>
        <w:t>(</w:t>
      </w:r>
      <w:r w:rsidRPr="008F725A">
        <w:rPr>
          <w:rFonts w:ascii="Times New Roman" w:hAnsi="Times New Roman" w:cs="Times New Roman"/>
          <w:i/>
          <w:sz w:val="20"/>
          <w:szCs w:val="20"/>
        </w:rPr>
        <w:t>King Jr.,</w:t>
      </w:r>
      <w:r w:rsidR="00954FC8">
        <w:rPr>
          <w:rFonts w:ascii="Times New Roman" w:hAnsi="Times New Roman" w:cs="Times New Roman"/>
          <w:i/>
          <w:sz w:val="20"/>
          <w:szCs w:val="20"/>
        </w:rPr>
        <w:t xml:space="preserve"> page</w:t>
      </w:r>
      <w:r w:rsidR="00FB7CA7">
        <w:rPr>
          <w:rFonts w:ascii="Times New Roman" w:hAnsi="Times New Roman" w:cs="Times New Roman"/>
          <w:i/>
          <w:sz w:val="20"/>
          <w:szCs w:val="20"/>
        </w:rPr>
        <w:t xml:space="preserve"> 172-</w:t>
      </w:r>
    </w:p>
    <w:p w14:paraId="25D342CE" w14:textId="54533CA2" w:rsidR="00265F11" w:rsidRPr="00FD35D4" w:rsidRDefault="00FB7CA7" w:rsidP="00E043DB">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173)</w:t>
      </w:r>
    </w:p>
    <w:p w14:paraId="5E3C7C2D" w14:textId="77777777" w:rsidR="00265F11" w:rsidRPr="008F725A" w:rsidRDefault="00265F11" w:rsidP="00E043DB">
      <w:pPr>
        <w:spacing w:after="0" w:line="240" w:lineRule="auto"/>
        <w:jc w:val="both"/>
        <w:rPr>
          <w:rFonts w:ascii="Times New Roman" w:hAnsi="Times New Roman" w:cs="Times New Roman"/>
          <w:b/>
          <w:sz w:val="20"/>
          <w:szCs w:val="20"/>
          <w:u w:val="single"/>
        </w:rPr>
      </w:pPr>
    </w:p>
    <w:p w14:paraId="1BA3B860" w14:textId="01058F4B" w:rsidR="009B5623" w:rsidRDefault="008F725A" w:rsidP="008F725A">
      <w:pPr>
        <w:spacing w:line="240" w:lineRule="auto"/>
        <w:jc w:val="both"/>
        <w:rPr>
          <w:rFonts w:ascii="Times New Roman" w:hAnsi="Times New Roman" w:cs="Times New Roman"/>
          <w:sz w:val="24"/>
          <w:szCs w:val="24"/>
        </w:rPr>
      </w:pPr>
      <w:r w:rsidRPr="008F725A">
        <w:rPr>
          <w:rFonts w:ascii="Times New Roman" w:hAnsi="Times New Roman" w:cs="Times New Roman"/>
          <w:sz w:val="24"/>
          <w:szCs w:val="24"/>
        </w:rPr>
        <w:t>A</w:t>
      </w:r>
      <w:r w:rsidR="00261FBE">
        <w:rPr>
          <w:rFonts w:ascii="Times New Roman" w:hAnsi="Times New Roman" w:cs="Times New Roman"/>
          <w:sz w:val="24"/>
          <w:szCs w:val="24"/>
        </w:rPr>
        <w:t>s I previously indicated, a</w:t>
      </w:r>
      <w:r w:rsidRPr="008F725A">
        <w:rPr>
          <w:rFonts w:ascii="Times New Roman" w:hAnsi="Times New Roman" w:cs="Times New Roman"/>
          <w:sz w:val="24"/>
          <w:szCs w:val="24"/>
        </w:rPr>
        <w:t xml:space="preserve"> fundamental problem soon to confront public administrators and the field of Public Administration</w:t>
      </w:r>
      <w:r>
        <w:rPr>
          <w:rFonts w:ascii="Times New Roman" w:hAnsi="Times New Roman" w:cs="Times New Roman"/>
          <w:sz w:val="24"/>
          <w:szCs w:val="24"/>
        </w:rPr>
        <w:t xml:space="preserve"> is how to a</w:t>
      </w:r>
      <w:r w:rsidR="00984D54">
        <w:rPr>
          <w:rFonts w:ascii="Times New Roman" w:hAnsi="Times New Roman" w:cs="Times New Roman"/>
          <w:sz w:val="24"/>
          <w:szCs w:val="24"/>
        </w:rPr>
        <w:t>dapt</w:t>
      </w:r>
      <w:r>
        <w:rPr>
          <w:rFonts w:ascii="Times New Roman" w:hAnsi="Times New Roman" w:cs="Times New Roman"/>
          <w:sz w:val="24"/>
          <w:szCs w:val="24"/>
        </w:rPr>
        <w:t xml:space="preserve"> the design of our </w:t>
      </w:r>
      <w:r w:rsidR="005D4172">
        <w:rPr>
          <w:rFonts w:ascii="Times New Roman" w:hAnsi="Times New Roman" w:cs="Times New Roman"/>
          <w:sz w:val="24"/>
          <w:szCs w:val="24"/>
        </w:rPr>
        <w:t xml:space="preserve">current </w:t>
      </w:r>
      <w:r>
        <w:rPr>
          <w:rFonts w:ascii="Times New Roman" w:hAnsi="Times New Roman" w:cs="Times New Roman"/>
          <w:sz w:val="24"/>
          <w:szCs w:val="24"/>
        </w:rPr>
        <w:t xml:space="preserve">society </w:t>
      </w:r>
      <w:r w:rsidR="009B5623">
        <w:rPr>
          <w:rFonts w:ascii="Times New Roman" w:hAnsi="Times New Roman" w:cs="Times New Roman"/>
          <w:sz w:val="24"/>
          <w:szCs w:val="24"/>
        </w:rPr>
        <w:t xml:space="preserve">and its institutions </w:t>
      </w:r>
      <w:r>
        <w:rPr>
          <w:rFonts w:ascii="Times New Roman" w:hAnsi="Times New Roman" w:cs="Times New Roman"/>
          <w:sz w:val="24"/>
          <w:szCs w:val="24"/>
        </w:rPr>
        <w:t>to deal with the future of productive effort. The very definition of a “job,” how a job is relate</w:t>
      </w:r>
      <w:r w:rsidR="00984D54">
        <w:rPr>
          <w:rFonts w:ascii="Times New Roman" w:hAnsi="Times New Roman" w:cs="Times New Roman"/>
          <w:sz w:val="24"/>
          <w:szCs w:val="24"/>
        </w:rPr>
        <w:t>d</w:t>
      </w:r>
      <w:r>
        <w:rPr>
          <w:rFonts w:ascii="Times New Roman" w:hAnsi="Times New Roman" w:cs="Times New Roman"/>
          <w:sz w:val="24"/>
          <w:szCs w:val="24"/>
        </w:rPr>
        <w:t xml:space="preserve"> to the distribution of income, how to continue to provide social and economic security, how best to prepare people to participate in the </w:t>
      </w:r>
      <w:r w:rsidR="00984D54">
        <w:rPr>
          <w:rFonts w:ascii="Times New Roman" w:hAnsi="Times New Roman" w:cs="Times New Roman"/>
          <w:sz w:val="24"/>
          <w:szCs w:val="24"/>
        </w:rPr>
        <w:t>future</w:t>
      </w:r>
      <w:r>
        <w:rPr>
          <w:rFonts w:ascii="Times New Roman" w:hAnsi="Times New Roman" w:cs="Times New Roman"/>
          <w:sz w:val="24"/>
          <w:szCs w:val="24"/>
        </w:rPr>
        <w:t xml:space="preserve"> work environment</w:t>
      </w:r>
      <w:r w:rsidR="00577B12">
        <w:rPr>
          <w:rFonts w:ascii="Times New Roman" w:hAnsi="Times New Roman" w:cs="Times New Roman"/>
          <w:sz w:val="24"/>
          <w:szCs w:val="24"/>
        </w:rPr>
        <w:t xml:space="preserve"> through re-skilling and up-skilling to increase adaptability and </w:t>
      </w:r>
      <w:r w:rsidR="00672851">
        <w:rPr>
          <w:rFonts w:ascii="Times New Roman" w:hAnsi="Times New Roman" w:cs="Times New Roman"/>
          <w:sz w:val="24"/>
          <w:szCs w:val="24"/>
        </w:rPr>
        <w:t>resilience</w:t>
      </w:r>
      <w:r>
        <w:rPr>
          <w:rFonts w:ascii="Times New Roman" w:hAnsi="Times New Roman" w:cs="Times New Roman"/>
          <w:sz w:val="24"/>
          <w:szCs w:val="24"/>
        </w:rPr>
        <w:t>, and how best to deal with the ensuing economic and social disruption</w:t>
      </w:r>
      <w:r w:rsidR="00984D54">
        <w:rPr>
          <w:rFonts w:ascii="Times New Roman" w:hAnsi="Times New Roman" w:cs="Times New Roman"/>
          <w:sz w:val="24"/>
          <w:szCs w:val="24"/>
        </w:rPr>
        <w:t xml:space="preserve"> due to </w:t>
      </w:r>
      <w:r w:rsidR="004F7E5D">
        <w:rPr>
          <w:rFonts w:ascii="Times New Roman" w:hAnsi="Times New Roman" w:cs="Times New Roman"/>
          <w:sz w:val="24"/>
          <w:szCs w:val="24"/>
        </w:rPr>
        <w:t xml:space="preserve">the coming very rapid </w:t>
      </w:r>
      <w:r w:rsidR="00984D54">
        <w:rPr>
          <w:rFonts w:ascii="Times New Roman" w:hAnsi="Times New Roman" w:cs="Times New Roman"/>
          <w:sz w:val="24"/>
          <w:szCs w:val="24"/>
        </w:rPr>
        <w:t>advances in information technology (IT) and artificial intelligence (AI)</w:t>
      </w:r>
      <w:r>
        <w:rPr>
          <w:rFonts w:ascii="Times New Roman" w:hAnsi="Times New Roman" w:cs="Times New Roman"/>
          <w:sz w:val="24"/>
          <w:szCs w:val="24"/>
        </w:rPr>
        <w:t xml:space="preserve">---all these questions </w:t>
      </w:r>
      <w:r w:rsidR="00984D54">
        <w:rPr>
          <w:rFonts w:ascii="Times New Roman" w:hAnsi="Times New Roman" w:cs="Times New Roman"/>
          <w:sz w:val="24"/>
          <w:szCs w:val="24"/>
        </w:rPr>
        <w:t xml:space="preserve">and how they </w:t>
      </w:r>
      <w:r w:rsidR="00261FBE">
        <w:rPr>
          <w:rFonts w:ascii="Times New Roman" w:hAnsi="Times New Roman" w:cs="Times New Roman"/>
          <w:sz w:val="24"/>
          <w:szCs w:val="24"/>
        </w:rPr>
        <w:t>s</w:t>
      </w:r>
      <w:r w:rsidR="00E11BF0">
        <w:rPr>
          <w:rFonts w:ascii="Times New Roman" w:hAnsi="Times New Roman" w:cs="Times New Roman"/>
          <w:sz w:val="24"/>
          <w:szCs w:val="24"/>
        </w:rPr>
        <w:t>h</w:t>
      </w:r>
      <w:r w:rsidR="00984D54">
        <w:rPr>
          <w:rFonts w:ascii="Times New Roman" w:hAnsi="Times New Roman" w:cs="Times New Roman"/>
          <w:sz w:val="24"/>
          <w:szCs w:val="24"/>
        </w:rPr>
        <w:t xml:space="preserve">ould be answered </w:t>
      </w:r>
      <w:r>
        <w:rPr>
          <w:rFonts w:ascii="Times New Roman" w:hAnsi="Times New Roman" w:cs="Times New Roman"/>
          <w:sz w:val="24"/>
          <w:szCs w:val="24"/>
        </w:rPr>
        <w:t xml:space="preserve">are </w:t>
      </w:r>
      <w:r w:rsidR="009B5623">
        <w:rPr>
          <w:rFonts w:ascii="Times New Roman" w:hAnsi="Times New Roman" w:cs="Times New Roman"/>
          <w:sz w:val="24"/>
          <w:szCs w:val="24"/>
        </w:rPr>
        <w:t>very much “</w:t>
      </w:r>
      <w:r>
        <w:rPr>
          <w:rFonts w:ascii="Times New Roman" w:hAnsi="Times New Roman" w:cs="Times New Roman"/>
          <w:sz w:val="24"/>
          <w:szCs w:val="24"/>
        </w:rPr>
        <w:t>up in the air</w:t>
      </w:r>
      <w:r w:rsidR="004F7E5D">
        <w:rPr>
          <w:rFonts w:ascii="Times New Roman" w:hAnsi="Times New Roman" w:cs="Times New Roman"/>
          <w:sz w:val="24"/>
          <w:szCs w:val="24"/>
        </w:rPr>
        <w:t>,</w:t>
      </w:r>
      <w:r w:rsidR="009B5623">
        <w:rPr>
          <w:rFonts w:ascii="Times New Roman" w:hAnsi="Times New Roman" w:cs="Times New Roman"/>
          <w:sz w:val="24"/>
          <w:szCs w:val="24"/>
        </w:rPr>
        <w:t>” so to speak.</w:t>
      </w:r>
    </w:p>
    <w:p w14:paraId="7634024F" w14:textId="3BE18B48" w:rsidR="009B5623" w:rsidRDefault="008C25D9" w:rsidP="008F725A">
      <w:pPr>
        <w:spacing w:line="240" w:lineRule="auto"/>
        <w:jc w:val="both"/>
        <w:rPr>
          <w:rFonts w:ascii="Times New Roman" w:hAnsi="Times New Roman" w:cs="Times New Roman"/>
          <w:sz w:val="24"/>
          <w:szCs w:val="24"/>
        </w:rPr>
      </w:pPr>
      <w:r>
        <w:rPr>
          <w:rFonts w:ascii="Times New Roman" w:hAnsi="Times New Roman" w:cs="Times New Roman"/>
          <w:sz w:val="24"/>
          <w:szCs w:val="24"/>
        </w:rPr>
        <w:t>However, s</w:t>
      </w:r>
      <w:r w:rsidR="004F7E5D">
        <w:rPr>
          <w:rFonts w:ascii="Times New Roman" w:hAnsi="Times New Roman" w:cs="Times New Roman"/>
          <w:sz w:val="24"/>
          <w:szCs w:val="24"/>
        </w:rPr>
        <w:t>ome i</w:t>
      </w:r>
      <w:r w:rsidR="00E31AD9">
        <w:rPr>
          <w:rFonts w:ascii="Times New Roman" w:hAnsi="Times New Roman" w:cs="Times New Roman"/>
          <w:sz w:val="24"/>
          <w:szCs w:val="24"/>
        </w:rPr>
        <w:t xml:space="preserve">nitial </w:t>
      </w:r>
      <w:r w:rsidR="004F7E5D">
        <w:rPr>
          <w:rFonts w:ascii="Times New Roman" w:hAnsi="Times New Roman" w:cs="Times New Roman"/>
          <w:sz w:val="24"/>
          <w:szCs w:val="24"/>
        </w:rPr>
        <w:t xml:space="preserve">outlines of </w:t>
      </w:r>
      <w:r w:rsidR="00E31AD9">
        <w:rPr>
          <w:rFonts w:ascii="Times New Roman" w:hAnsi="Times New Roman" w:cs="Times New Roman"/>
          <w:sz w:val="24"/>
          <w:szCs w:val="24"/>
        </w:rPr>
        <w:t xml:space="preserve">responses </w:t>
      </w:r>
      <w:r w:rsidR="00964E2A">
        <w:rPr>
          <w:rFonts w:ascii="Times New Roman" w:hAnsi="Times New Roman" w:cs="Times New Roman"/>
          <w:sz w:val="24"/>
          <w:szCs w:val="24"/>
        </w:rPr>
        <w:t>to these questions have already begun to emerge.</w:t>
      </w:r>
      <w:r w:rsidR="00984D54">
        <w:rPr>
          <w:rFonts w:ascii="Times New Roman" w:hAnsi="Times New Roman" w:cs="Times New Roman"/>
          <w:sz w:val="24"/>
          <w:szCs w:val="24"/>
        </w:rPr>
        <w:t xml:space="preserve"> The broad parameters seem to be:</w:t>
      </w:r>
    </w:p>
    <w:p w14:paraId="1510E8AF" w14:textId="5FA48FE7" w:rsidR="00842BFC" w:rsidRDefault="00E31AD9" w:rsidP="00842BFC">
      <w:pPr>
        <w:pStyle w:val="ListParagraph"/>
        <w:numPr>
          <w:ilvl w:val="0"/>
          <w:numId w:val="6"/>
        </w:numPr>
        <w:jc w:val="both"/>
      </w:pPr>
      <w:r>
        <w:lastRenderedPageBreak/>
        <w:t>“</w:t>
      </w:r>
      <w:r w:rsidR="005E57F1">
        <w:t>C</w:t>
      </w:r>
      <w:r w:rsidR="000B7F0C">
        <w:t>ontingent work will expand as a result of the continued use and development of computer-based information technologies and business models based on web-based matching algorithms.</w:t>
      </w:r>
    </w:p>
    <w:p w14:paraId="47318821" w14:textId="77777777" w:rsidR="00842BFC" w:rsidRDefault="00842BFC" w:rsidP="00842BFC">
      <w:pPr>
        <w:pStyle w:val="ListParagraph"/>
        <w:jc w:val="both"/>
      </w:pPr>
    </w:p>
    <w:p w14:paraId="0402BE57" w14:textId="31C49590" w:rsidR="00842BFC" w:rsidRDefault="003729B5" w:rsidP="00842BFC">
      <w:pPr>
        <w:pStyle w:val="ListParagraph"/>
        <w:numPr>
          <w:ilvl w:val="0"/>
          <w:numId w:val="6"/>
        </w:numPr>
        <w:jc w:val="both"/>
      </w:pPr>
      <w:r>
        <w:t>With the decline of unionization, the prevalence of contingent work, and a more mobile workforce, new institutions that also offer workers a greater voice in their workplace and in the political arena are becoming increasingly important for worker fairness and equality.</w:t>
      </w:r>
    </w:p>
    <w:p w14:paraId="5DAA7E24" w14:textId="77777777" w:rsidR="00842BFC" w:rsidRDefault="00842BFC" w:rsidP="00842BFC">
      <w:pPr>
        <w:spacing w:after="0" w:line="240" w:lineRule="auto"/>
        <w:jc w:val="both"/>
      </w:pPr>
    </w:p>
    <w:p w14:paraId="2EDA11A6" w14:textId="452429BA" w:rsidR="003729B5" w:rsidRDefault="00484BB1" w:rsidP="00984D54">
      <w:pPr>
        <w:pStyle w:val="ListParagraph"/>
        <w:numPr>
          <w:ilvl w:val="0"/>
          <w:numId w:val="6"/>
        </w:numPr>
        <w:jc w:val="both"/>
      </w:pPr>
      <w:r>
        <w:t>Because work has become increasingly nontraditional (detached from single employers over the course of a career), enabled in part by technology, employment institutions may need to change in order to provide all workers with access to health care, pension funds, and other elements of the social safety net that have been historically tied to full-time traditional employment.</w:t>
      </w:r>
    </w:p>
    <w:p w14:paraId="1761AA67" w14:textId="77777777" w:rsidR="00842BFC" w:rsidRDefault="00842BFC" w:rsidP="00842BFC">
      <w:pPr>
        <w:spacing w:after="0" w:line="240" w:lineRule="auto"/>
        <w:jc w:val="both"/>
      </w:pPr>
    </w:p>
    <w:p w14:paraId="3A6B65E6" w14:textId="0FCFCE25" w:rsidR="00C80EB7" w:rsidRDefault="00620F82" w:rsidP="008A3CA5">
      <w:pPr>
        <w:pStyle w:val="ListParagraph"/>
        <w:numPr>
          <w:ilvl w:val="0"/>
          <w:numId w:val="6"/>
        </w:numPr>
        <w:jc w:val="both"/>
      </w:pPr>
      <w:r>
        <w:t>Because of the increasing ability to use IT to reduce the need for co-location, a widening geographical division of labor is likely to continue, and new ways of organizing that preclude regular face-to-face interaction will emerge, at least for those tasks in which direct interaction is not essential.</w:t>
      </w:r>
    </w:p>
    <w:p w14:paraId="2FBB2AF3" w14:textId="77777777" w:rsidR="00C80EB7" w:rsidRDefault="00C80EB7" w:rsidP="008A3CA5">
      <w:pPr>
        <w:pStyle w:val="ListParagraph"/>
        <w:jc w:val="both"/>
      </w:pPr>
    </w:p>
    <w:p w14:paraId="6969F29E" w14:textId="1E3A64DC" w:rsidR="00620F82" w:rsidRDefault="00620F82" w:rsidP="008A3CA5">
      <w:pPr>
        <w:pStyle w:val="ListParagraph"/>
        <w:numPr>
          <w:ilvl w:val="0"/>
          <w:numId w:val="6"/>
        </w:numPr>
        <w:jc w:val="both"/>
      </w:pPr>
      <w:r>
        <w:t>To the degree that IT alters the skill structure on which the division of labor is based, educational systems will need renewed attention. Although encouraging more young people to pursue a college education and acquire the skills needed for service-oriented jobs or for STEM fields makes sense, these efforts will not be sufficient; strategies for strengthening social and other uniquely human skills and enabling flexibility in the face of changing circumstances will likely be important.</w:t>
      </w:r>
    </w:p>
    <w:p w14:paraId="413C07DD" w14:textId="77777777" w:rsidR="00842BFC" w:rsidRDefault="00842BFC" w:rsidP="00842BFC">
      <w:pPr>
        <w:pStyle w:val="ListParagraph"/>
        <w:jc w:val="both"/>
      </w:pPr>
    </w:p>
    <w:p w14:paraId="5085CFBF" w14:textId="04B3BC31" w:rsidR="00E31AD9" w:rsidRDefault="00E31AD9" w:rsidP="00842BFC">
      <w:pPr>
        <w:pStyle w:val="ListParagraph"/>
        <w:numPr>
          <w:ilvl w:val="0"/>
          <w:numId w:val="6"/>
        </w:numPr>
        <w:spacing w:after="240"/>
        <w:jc w:val="both"/>
      </w:pPr>
      <w:r>
        <w:t>The exact nature of the changes depends not only on technological advances, but on a complex interplay of skills, organizations, institutions, culture, and policies. There is no guarantee that economic and social changes will be gradual or that they will be beneficial for everyone. Unanticipated breakthroughs not only in technology, but in any of these other factors, or in their interaction, could lead to large-scale disruption of the status quo.” (National Academies of Sciences, Engineering, and Medicine)</w:t>
      </w:r>
    </w:p>
    <w:p w14:paraId="7E76A141" w14:textId="100D93E6" w:rsidR="00B12C45" w:rsidRDefault="00B12C45" w:rsidP="00B12C45">
      <w:pPr>
        <w:spacing w:after="0" w:line="240" w:lineRule="auto"/>
        <w:jc w:val="both"/>
        <w:rPr>
          <w:rFonts w:ascii="Times New Roman" w:hAnsi="Times New Roman" w:cs="Times New Roman"/>
          <w:sz w:val="24"/>
          <w:szCs w:val="24"/>
        </w:rPr>
      </w:pPr>
      <w:r w:rsidRPr="00B12C45">
        <w:rPr>
          <w:rFonts w:ascii="Times New Roman" w:hAnsi="Times New Roman" w:cs="Times New Roman"/>
          <w:sz w:val="24"/>
          <w:szCs w:val="24"/>
        </w:rPr>
        <w:t>What are the implications for policy makers, organizations and individuals</w:t>
      </w:r>
      <w:r w:rsidR="00842BFC">
        <w:rPr>
          <w:rFonts w:ascii="Times New Roman" w:hAnsi="Times New Roman" w:cs="Times New Roman"/>
          <w:sz w:val="24"/>
          <w:szCs w:val="24"/>
        </w:rPr>
        <w:t>?</w:t>
      </w:r>
      <w:r w:rsidR="004F7E5D">
        <w:rPr>
          <w:rFonts w:ascii="Times New Roman" w:hAnsi="Times New Roman" w:cs="Times New Roman"/>
          <w:sz w:val="24"/>
          <w:szCs w:val="24"/>
        </w:rPr>
        <w:t xml:space="preserve"> Again, some initial thoug</w:t>
      </w:r>
      <w:r w:rsidR="00C80EB7">
        <w:rPr>
          <w:rFonts w:ascii="Times New Roman" w:hAnsi="Times New Roman" w:cs="Times New Roman"/>
          <w:sz w:val="24"/>
          <w:szCs w:val="24"/>
        </w:rPr>
        <w:t>h</w:t>
      </w:r>
      <w:r w:rsidR="004F7E5D">
        <w:rPr>
          <w:rFonts w:ascii="Times New Roman" w:hAnsi="Times New Roman" w:cs="Times New Roman"/>
          <w:sz w:val="24"/>
          <w:szCs w:val="24"/>
        </w:rPr>
        <w:t>ts</w:t>
      </w:r>
      <w:r w:rsidR="008C25D9">
        <w:rPr>
          <w:rFonts w:ascii="Times New Roman" w:hAnsi="Times New Roman" w:cs="Times New Roman"/>
          <w:sz w:val="24"/>
          <w:szCs w:val="24"/>
        </w:rPr>
        <w:t xml:space="preserve"> have emerged:</w:t>
      </w:r>
    </w:p>
    <w:p w14:paraId="1E062702" w14:textId="77777777" w:rsidR="00842BFC" w:rsidRDefault="00842BFC" w:rsidP="00B12C45">
      <w:pPr>
        <w:spacing w:after="0" w:line="240" w:lineRule="auto"/>
        <w:jc w:val="both"/>
        <w:rPr>
          <w:rFonts w:ascii="Times New Roman" w:hAnsi="Times New Roman" w:cs="Times New Roman"/>
          <w:sz w:val="24"/>
          <w:szCs w:val="24"/>
        </w:rPr>
      </w:pPr>
    </w:p>
    <w:p w14:paraId="619E2A3F" w14:textId="75D31CFA" w:rsidR="00B12C45" w:rsidRDefault="000E717D" w:rsidP="00B12C45">
      <w:pPr>
        <w:pStyle w:val="ListParagraph"/>
        <w:numPr>
          <w:ilvl w:val="0"/>
          <w:numId w:val="7"/>
        </w:numPr>
        <w:jc w:val="both"/>
      </w:pPr>
      <w:r>
        <w:rPr>
          <w:b/>
          <w:bCs/>
        </w:rPr>
        <w:t>“</w:t>
      </w:r>
      <w:r w:rsidR="00BF7185">
        <w:rPr>
          <w:b/>
          <w:bCs/>
        </w:rPr>
        <w:t>Reassess policies</w:t>
      </w:r>
      <w:r w:rsidR="00BF7185">
        <w:t>. In order for individuals and organizations to keep pace with the changes in the future of work, it is necessary for societal institutions to reassess legal and regulatory policies. Governments in particular should consider updating the definitions of employment to account for freelance and gig economy work and the provision of and access to government health, pension, and other social benefits…..</w:t>
      </w:r>
    </w:p>
    <w:p w14:paraId="3F0BA439" w14:textId="77777777" w:rsidR="00842BFC" w:rsidRDefault="00842BFC" w:rsidP="00842BFC">
      <w:pPr>
        <w:pStyle w:val="ListParagraph"/>
        <w:jc w:val="both"/>
      </w:pPr>
    </w:p>
    <w:p w14:paraId="56DC7B9F" w14:textId="780E449A" w:rsidR="00C634B5" w:rsidRDefault="000E717D" w:rsidP="00B12C45">
      <w:pPr>
        <w:pStyle w:val="ListParagraph"/>
        <w:numPr>
          <w:ilvl w:val="0"/>
          <w:numId w:val="7"/>
        </w:numPr>
        <w:jc w:val="both"/>
      </w:pPr>
      <w:r>
        <w:rPr>
          <w:b/>
          <w:bCs/>
        </w:rPr>
        <w:t>Redesign work for technology and learning</w:t>
      </w:r>
      <w:r>
        <w:t xml:space="preserve">. To take effective advantage of technology, organizations will likely need to redesign work itself, moving beyond process optimization to find ways to enhance machine-human collaboration, drawing out the best of both and expanding across alternative workforces. </w:t>
      </w:r>
    </w:p>
    <w:p w14:paraId="566ACFCA" w14:textId="77777777" w:rsidR="004F7E5D" w:rsidRDefault="004F7E5D" w:rsidP="004F7E5D">
      <w:pPr>
        <w:spacing w:after="0" w:line="240" w:lineRule="auto"/>
        <w:jc w:val="both"/>
      </w:pPr>
    </w:p>
    <w:p w14:paraId="0E7247DC" w14:textId="1BF76C8B" w:rsidR="00BF7185" w:rsidRPr="00B12C45" w:rsidRDefault="00842BFC" w:rsidP="0092183E">
      <w:pPr>
        <w:pStyle w:val="ListParagraph"/>
        <w:numPr>
          <w:ilvl w:val="0"/>
          <w:numId w:val="7"/>
        </w:numPr>
        <w:spacing w:after="240"/>
        <w:jc w:val="both"/>
      </w:pPr>
      <w:r w:rsidRPr="00842BFC">
        <w:rPr>
          <w:b/>
          <w:bCs/>
        </w:rPr>
        <w:t>Reimagine lifelong education</w:t>
      </w:r>
      <w:r>
        <w:t>. It is anticipated that the half-life of skill sets will decrease to five years in the future of work. Individuals embarking upon a 30-year career would have to update and refresh their skills six times throughout their careers. Ecosystems should be ready to rethink through education and establish a framework to help everyone develop their talent more rapidly. This focus on education should extend to marginalized populations and older generations who do not want to or cannot transition out of the workforce. In addition, payment structures and incentives could be designed to support this approach to lifelong education: facilitating access to ongoing education and training throughout a working career that might span 50 years and many different types of work.” (Schwartz, Monahan and Stockton).</w:t>
      </w:r>
      <w:r>
        <w:rPr>
          <w:vertAlign w:val="superscript"/>
        </w:rPr>
        <w:t xml:space="preserve"> </w:t>
      </w:r>
      <w:r>
        <w:t xml:space="preserve"> </w:t>
      </w:r>
    </w:p>
    <w:p w14:paraId="3C670BD4" w14:textId="11E30A96" w:rsidR="00261FBE" w:rsidRDefault="009B5623" w:rsidP="0092183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As we struggle to </w:t>
      </w:r>
      <w:r w:rsidR="00FD3188">
        <w:rPr>
          <w:rFonts w:ascii="Times New Roman" w:hAnsi="Times New Roman" w:cs="Times New Roman"/>
          <w:sz w:val="24"/>
          <w:szCs w:val="24"/>
        </w:rPr>
        <w:t>flesh out</w:t>
      </w:r>
      <w:r>
        <w:rPr>
          <w:rFonts w:ascii="Times New Roman" w:hAnsi="Times New Roman" w:cs="Times New Roman"/>
          <w:sz w:val="24"/>
          <w:szCs w:val="24"/>
        </w:rPr>
        <w:t xml:space="preserve"> solutions to these issues, I would assert that there is something that </w:t>
      </w:r>
      <w:r w:rsidR="007279FA">
        <w:rPr>
          <w:rFonts w:ascii="Times New Roman" w:hAnsi="Times New Roman" w:cs="Times New Roman"/>
          <w:sz w:val="24"/>
          <w:szCs w:val="24"/>
        </w:rPr>
        <w:t>so far has</w:t>
      </w:r>
      <w:r>
        <w:rPr>
          <w:rFonts w:ascii="Times New Roman" w:hAnsi="Times New Roman" w:cs="Times New Roman"/>
          <w:sz w:val="24"/>
          <w:szCs w:val="24"/>
        </w:rPr>
        <w:t xml:space="preserve"> largely </w:t>
      </w:r>
      <w:r w:rsidR="008D6C43">
        <w:rPr>
          <w:rFonts w:ascii="Times New Roman" w:hAnsi="Times New Roman" w:cs="Times New Roman"/>
          <w:sz w:val="24"/>
          <w:szCs w:val="24"/>
        </w:rPr>
        <w:t>not been seen</w:t>
      </w:r>
      <w:r>
        <w:rPr>
          <w:rFonts w:ascii="Times New Roman" w:hAnsi="Times New Roman" w:cs="Times New Roman"/>
          <w:sz w:val="24"/>
          <w:szCs w:val="24"/>
        </w:rPr>
        <w:t xml:space="preserve"> that is constraining </w:t>
      </w:r>
      <w:r w:rsidR="005D4172">
        <w:rPr>
          <w:rFonts w:ascii="Times New Roman" w:hAnsi="Times New Roman" w:cs="Times New Roman"/>
          <w:sz w:val="24"/>
          <w:szCs w:val="24"/>
        </w:rPr>
        <w:t xml:space="preserve">what we consider are </w:t>
      </w:r>
      <w:r>
        <w:rPr>
          <w:rFonts w:ascii="Times New Roman" w:hAnsi="Times New Roman" w:cs="Times New Roman"/>
          <w:sz w:val="24"/>
          <w:szCs w:val="24"/>
        </w:rPr>
        <w:t>the range of options we believe are possible</w:t>
      </w:r>
      <w:r w:rsidR="00984D54">
        <w:rPr>
          <w:rFonts w:ascii="Times New Roman" w:hAnsi="Times New Roman" w:cs="Times New Roman"/>
          <w:sz w:val="24"/>
          <w:szCs w:val="24"/>
        </w:rPr>
        <w:t xml:space="preserve"> and practical</w:t>
      </w:r>
      <w:r>
        <w:rPr>
          <w:rFonts w:ascii="Times New Roman" w:hAnsi="Times New Roman" w:cs="Times New Roman"/>
          <w:sz w:val="24"/>
          <w:szCs w:val="24"/>
        </w:rPr>
        <w:t xml:space="preserve">: we are </w:t>
      </w:r>
      <w:r w:rsidR="006F6E7D">
        <w:rPr>
          <w:rFonts w:ascii="Times New Roman" w:hAnsi="Times New Roman" w:cs="Times New Roman"/>
          <w:sz w:val="24"/>
          <w:szCs w:val="24"/>
        </w:rPr>
        <w:t xml:space="preserve">primarily </w:t>
      </w:r>
      <w:r>
        <w:rPr>
          <w:rFonts w:ascii="Times New Roman" w:hAnsi="Times New Roman" w:cs="Times New Roman"/>
          <w:sz w:val="24"/>
          <w:szCs w:val="24"/>
        </w:rPr>
        <w:t>using the “lens</w:t>
      </w:r>
      <w:r w:rsidR="007620EF">
        <w:rPr>
          <w:rFonts w:ascii="Times New Roman" w:hAnsi="Times New Roman" w:cs="Times New Roman"/>
          <w:sz w:val="24"/>
          <w:szCs w:val="24"/>
        </w:rPr>
        <w:t>”</w:t>
      </w:r>
      <w:r>
        <w:rPr>
          <w:rFonts w:ascii="Times New Roman" w:hAnsi="Times New Roman" w:cs="Times New Roman"/>
          <w:sz w:val="24"/>
          <w:szCs w:val="24"/>
        </w:rPr>
        <w:t xml:space="preserve"> of the </w:t>
      </w:r>
      <w:r w:rsidR="007620EF">
        <w:rPr>
          <w:rFonts w:ascii="Times New Roman" w:hAnsi="Times New Roman" w:cs="Times New Roman"/>
          <w:sz w:val="24"/>
          <w:szCs w:val="24"/>
        </w:rPr>
        <w:t xml:space="preserve">market place or economy, with all of its underlining assumptions about who we and others are and our definition of what “works.” For example, </w:t>
      </w:r>
      <w:r w:rsidR="00842BFC">
        <w:rPr>
          <w:rFonts w:ascii="Times New Roman" w:hAnsi="Times New Roman" w:cs="Times New Roman"/>
          <w:sz w:val="24"/>
          <w:szCs w:val="24"/>
        </w:rPr>
        <w:t xml:space="preserve">the above seems to assume that jobs will continue to be the mechanism for providing income, </w:t>
      </w:r>
      <w:r w:rsidR="00FD3188">
        <w:rPr>
          <w:rFonts w:ascii="Times New Roman" w:hAnsi="Times New Roman" w:cs="Times New Roman"/>
          <w:sz w:val="24"/>
          <w:szCs w:val="24"/>
        </w:rPr>
        <w:t>that it is paramount</w:t>
      </w:r>
      <w:r w:rsidR="00842BFC">
        <w:rPr>
          <w:rFonts w:ascii="Times New Roman" w:hAnsi="Times New Roman" w:cs="Times New Roman"/>
          <w:sz w:val="24"/>
          <w:szCs w:val="24"/>
        </w:rPr>
        <w:t xml:space="preserve"> to </w:t>
      </w:r>
      <w:r w:rsidR="00337FF8">
        <w:rPr>
          <w:rFonts w:ascii="Times New Roman" w:hAnsi="Times New Roman" w:cs="Times New Roman"/>
          <w:sz w:val="24"/>
          <w:szCs w:val="24"/>
        </w:rPr>
        <w:t xml:space="preserve">ensure that </w:t>
      </w:r>
      <w:r w:rsidR="008C25D9">
        <w:rPr>
          <w:rFonts w:ascii="Times New Roman" w:hAnsi="Times New Roman" w:cs="Times New Roman"/>
          <w:sz w:val="24"/>
          <w:szCs w:val="24"/>
        </w:rPr>
        <w:t xml:space="preserve">all </w:t>
      </w:r>
      <w:r w:rsidR="00337FF8">
        <w:rPr>
          <w:rFonts w:ascii="Times New Roman" w:hAnsi="Times New Roman" w:cs="Times New Roman"/>
          <w:sz w:val="24"/>
          <w:szCs w:val="24"/>
        </w:rPr>
        <w:t>workers continue to be job holders</w:t>
      </w:r>
      <w:r w:rsidR="00FD3188">
        <w:rPr>
          <w:rFonts w:ascii="Times New Roman" w:hAnsi="Times New Roman" w:cs="Times New Roman"/>
          <w:sz w:val="24"/>
          <w:szCs w:val="24"/>
        </w:rPr>
        <w:t xml:space="preserve">, and should people fall out of a job we must </w:t>
      </w:r>
      <w:r w:rsidR="008D6C43">
        <w:rPr>
          <w:rFonts w:ascii="Times New Roman" w:hAnsi="Times New Roman" w:cs="Times New Roman"/>
          <w:sz w:val="24"/>
          <w:szCs w:val="24"/>
        </w:rPr>
        <w:t xml:space="preserve">very quickly and effectively </w:t>
      </w:r>
      <w:r w:rsidR="00FD3188">
        <w:rPr>
          <w:rFonts w:ascii="Times New Roman" w:hAnsi="Times New Roman" w:cs="Times New Roman"/>
          <w:sz w:val="24"/>
          <w:szCs w:val="24"/>
        </w:rPr>
        <w:t xml:space="preserve">re-train/re-educate them to </w:t>
      </w:r>
      <w:r w:rsidR="00D751F8">
        <w:rPr>
          <w:rFonts w:ascii="Times New Roman" w:hAnsi="Times New Roman" w:cs="Times New Roman"/>
          <w:sz w:val="24"/>
          <w:szCs w:val="24"/>
        </w:rPr>
        <w:t>be employed in</w:t>
      </w:r>
      <w:r w:rsidR="00FD3188">
        <w:rPr>
          <w:rFonts w:ascii="Times New Roman" w:hAnsi="Times New Roman" w:cs="Times New Roman"/>
          <w:sz w:val="24"/>
          <w:szCs w:val="24"/>
        </w:rPr>
        <w:t xml:space="preserve"> the new jobs of the future.</w:t>
      </w:r>
      <w:r w:rsidR="00FD35D4">
        <w:rPr>
          <w:rFonts w:ascii="Times New Roman" w:hAnsi="Times New Roman" w:cs="Times New Roman"/>
          <w:sz w:val="24"/>
          <w:szCs w:val="24"/>
        </w:rPr>
        <w:t xml:space="preserve"> </w:t>
      </w:r>
    </w:p>
    <w:p w14:paraId="7736199F" w14:textId="7E8DA0E5" w:rsidR="008C25D9" w:rsidRDefault="00FD35D4" w:rsidP="0092183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However, if we substitute the “lens” of the </w:t>
      </w:r>
      <w:r w:rsidR="00AF291A">
        <w:rPr>
          <w:rFonts w:ascii="Times New Roman" w:hAnsi="Times New Roman" w:cs="Times New Roman"/>
          <w:sz w:val="24"/>
          <w:szCs w:val="24"/>
        </w:rPr>
        <w:t>P</w:t>
      </w:r>
      <w:r>
        <w:rPr>
          <w:rFonts w:ascii="Times New Roman" w:hAnsi="Times New Roman" w:cs="Times New Roman"/>
          <w:sz w:val="24"/>
          <w:szCs w:val="24"/>
        </w:rPr>
        <w:t xml:space="preserve">ara-economic </w:t>
      </w:r>
      <w:r w:rsidR="00AF291A">
        <w:rPr>
          <w:rFonts w:ascii="Times New Roman" w:hAnsi="Times New Roman" w:cs="Times New Roman"/>
          <w:sz w:val="24"/>
          <w:szCs w:val="24"/>
        </w:rPr>
        <w:t>P</w:t>
      </w:r>
      <w:r>
        <w:rPr>
          <w:rFonts w:ascii="Times New Roman" w:hAnsi="Times New Roman" w:cs="Times New Roman"/>
          <w:sz w:val="24"/>
          <w:szCs w:val="24"/>
        </w:rPr>
        <w:t xml:space="preserve">aradigm, we could begin to consider the possibility that a job in the market economy may not be necessary to provide </w:t>
      </w:r>
      <w:r w:rsidR="00261FBE">
        <w:rPr>
          <w:rFonts w:ascii="Times New Roman" w:hAnsi="Times New Roman" w:cs="Times New Roman"/>
          <w:sz w:val="24"/>
          <w:szCs w:val="24"/>
        </w:rPr>
        <w:t xml:space="preserve">a living </w:t>
      </w:r>
      <w:r>
        <w:rPr>
          <w:rFonts w:ascii="Times New Roman" w:hAnsi="Times New Roman" w:cs="Times New Roman"/>
          <w:sz w:val="24"/>
          <w:szCs w:val="24"/>
        </w:rPr>
        <w:t>income</w:t>
      </w:r>
      <w:r w:rsidR="007B4706">
        <w:rPr>
          <w:rFonts w:ascii="Times New Roman" w:hAnsi="Times New Roman" w:cs="Times New Roman"/>
          <w:sz w:val="24"/>
          <w:szCs w:val="24"/>
        </w:rPr>
        <w:t xml:space="preserve"> to all people</w:t>
      </w:r>
      <w:r>
        <w:rPr>
          <w:rFonts w:ascii="Times New Roman" w:hAnsi="Times New Roman" w:cs="Times New Roman"/>
          <w:sz w:val="24"/>
          <w:szCs w:val="24"/>
        </w:rPr>
        <w:t xml:space="preserve">, that </w:t>
      </w:r>
      <w:r w:rsidR="00261FBE">
        <w:rPr>
          <w:rFonts w:ascii="Times New Roman" w:hAnsi="Times New Roman" w:cs="Times New Roman"/>
          <w:sz w:val="24"/>
          <w:szCs w:val="24"/>
        </w:rPr>
        <w:t xml:space="preserve">not all people can or should be employed in a job </w:t>
      </w:r>
      <w:r w:rsidR="008C25D9">
        <w:rPr>
          <w:rFonts w:ascii="Times New Roman" w:hAnsi="Times New Roman" w:cs="Times New Roman"/>
          <w:sz w:val="24"/>
          <w:szCs w:val="24"/>
        </w:rPr>
        <w:t xml:space="preserve">in the economic enclave </w:t>
      </w:r>
      <w:r w:rsidR="00261FBE">
        <w:rPr>
          <w:rFonts w:ascii="Times New Roman" w:hAnsi="Times New Roman" w:cs="Times New Roman"/>
          <w:sz w:val="24"/>
          <w:szCs w:val="24"/>
        </w:rPr>
        <w:t>in order to be productive and to contribute to society, that</w:t>
      </w:r>
      <w:r w:rsidR="00485EF6">
        <w:rPr>
          <w:rFonts w:ascii="Times New Roman" w:hAnsi="Times New Roman" w:cs="Times New Roman"/>
          <w:sz w:val="24"/>
          <w:szCs w:val="24"/>
        </w:rPr>
        <w:t xml:space="preserve"> </w:t>
      </w:r>
      <w:r>
        <w:rPr>
          <w:rFonts w:ascii="Times New Roman" w:hAnsi="Times New Roman" w:cs="Times New Roman"/>
          <w:sz w:val="24"/>
          <w:szCs w:val="24"/>
        </w:rPr>
        <w:t xml:space="preserve">productive effort can happen </w:t>
      </w:r>
      <w:r w:rsidR="0092183E">
        <w:rPr>
          <w:rFonts w:ascii="Times New Roman" w:hAnsi="Times New Roman" w:cs="Times New Roman"/>
          <w:sz w:val="24"/>
          <w:szCs w:val="24"/>
        </w:rPr>
        <w:t xml:space="preserve">in social enclaves </w:t>
      </w:r>
      <w:r>
        <w:rPr>
          <w:rFonts w:ascii="Times New Roman" w:hAnsi="Times New Roman" w:cs="Times New Roman"/>
          <w:sz w:val="24"/>
          <w:szCs w:val="24"/>
        </w:rPr>
        <w:t xml:space="preserve">other than in the market economy, and that </w:t>
      </w:r>
      <w:r w:rsidR="008C25D9">
        <w:rPr>
          <w:rFonts w:ascii="Times New Roman" w:hAnsi="Times New Roman" w:cs="Times New Roman"/>
          <w:sz w:val="24"/>
          <w:szCs w:val="24"/>
        </w:rPr>
        <w:t xml:space="preserve">perhaps </w:t>
      </w:r>
      <w:r>
        <w:rPr>
          <w:rFonts w:ascii="Times New Roman" w:hAnsi="Times New Roman" w:cs="Times New Roman"/>
          <w:sz w:val="24"/>
          <w:szCs w:val="24"/>
        </w:rPr>
        <w:t xml:space="preserve">the true wealth of nations comes from productive efforts that occur in all societal enclaves. </w:t>
      </w:r>
      <w:r w:rsidR="007921B7">
        <w:rPr>
          <w:rFonts w:ascii="Times New Roman" w:hAnsi="Times New Roman" w:cs="Times New Roman"/>
          <w:sz w:val="24"/>
          <w:szCs w:val="24"/>
        </w:rPr>
        <w:t>(</w:t>
      </w:r>
      <w:r w:rsidR="008C25D9">
        <w:rPr>
          <w:rFonts w:ascii="Times New Roman" w:hAnsi="Times New Roman" w:cs="Times New Roman"/>
          <w:sz w:val="24"/>
          <w:szCs w:val="24"/>
        </w:rPr>
        <w:t>4</w:t>
      </w:r>
      <w:r w:rsidR="007921B7">
        <w:rPr>
          <w:rFonts w:ascii="Times New Roman" w:hAnsi="Times New Roman" w:cs="Times New Roman"/>
          <w:sz w:val="24"/>
          <w:szCs w:val="24"/>
        </w:rPr>
        <w:t xml:space="preserve">) </w:t>
      </w:r>
    </w:p>
    <w:p w14:paraId="08418C4A" w14:textId="7A8FBC42" w:rsidR="00265F11" w:rsidRDefault="00FD35D4" w:rsidP="0092183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Let’s see how this new possibility could work.</w:t>
      </w:r>
    </w:p>
    <w:p w14:paraId="5B02EDA0" w14:textId="4C1B333B" w:rsidR="00F06F70" w:rsidRDefault="00F06F70" w:rsidP="0092183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Previously, I examined the conflicting demands in the United States </w:t>
      </w:r>
      <w:r w:rsidR="00485EF6">
        <w:rPr>
          <w:rFonts w:ascii="Times New Roman" w:hAnsi="Times New Roman" w:cs="Times New Roman"/>
          <w:sz w:val="24"/>
          <w:szCs w:val="24"/>
        </w:rPr>
        <w:t>between</w:t>
      </w:r>
      <w:r>
        <w:rPr>
          <w:rFonts w:ascii="Times New Roman" w:hAnsi="Times New Roman" w:cs="Times New Roman"/>
          <w:sz w:val="24"/>
          <w:szCs w:val="24"/>
        </w:rPr>
        <w:t xml:space="preserve"> economic efficiency and economic equality (Dennis, </w:t>
      </w:r>
      <w:r w:rsidR="007E44FF">
        <w:rPr>
          <w:rFonts w:ascii="Times New Roman" w:hAnsi="Times New Roman" w:cs="Times New Roman"/>
          <w:sz w:val="24"/>
          <w:szCs w:val="24"/>
        </w:rPr>
        <w:t>2006</w:t>
      </w:r>
      <w:r>
        <w:rPr>
          <w:rFonts w:ascii="Times New Roman" w:hAnsi="Times New Roman" w:cs="Times New Roman"/>
          <w:sz w:val="24"/>
          <w:szCs w:val="24"/>
        </w:rPr>
        <w:t xml:space="preserve">). </w:t>
      </w:r>
      <w:r w:rsidR="00D751F8">
        <w:rPr>
          <w:rFonts w:ascii="Times New Roman" w:hAnsi="Times New Roman" w:cs="Times New Roman"/>
          <w:sz w:val="24"/>
          <w:szCs w:val="24"/>
        </w:rPr>
        <w:t>I believe that t</w:t>
      </w:r>
      <w:r>
        <w:rPr>
          <w:rFonts w:ascii="Times New Roman" w:hAnsi="Times New Roman" w:cs="Times New Roman"/>
          <w:sz w:val="24"/>
          <w:szCs w:val="24"/>
        </w:rPr>
        <w:t xml:space="preserve">his issue has been </w:t>
      </w:r>
      <w:r w:rsidR="00485EF6">
        <w:rPr>
          <w:rFonts w:ascii="Times New Roman" w:hAnsi="Times New Roman" w:cs="Times New Roman"/>
          <w:sz w:val="24"/>
          <w:szCs w:val="24"/>
        </w:rPr>
        <w:t xml:space="preserve">conceptually </w:t>
      </w:r>
      <w:r>
        <w:rPr>
          <w:rFonts w:ascii="Times New Roman" w:hAnsi="Times New Roman" w:cs="Times New Roman"/>
          <w:sz w:val="24"/>
          <w:szCs w:val="24"/>
        </w:rPr>
        <w:t>dead</w:t>
      </w:r>
      <w:r w:rsidR="00D751F8">
        <w:rPr>
          <w:rFonts w:ascii="Times New Roman" w:hAnsi="Times New Roman" w:cs="Times New Roman"/>
          <w:sz w:val="24"/>
          <w:szCs w:val="24"/>
        </w:rPr>
        <w:t>-</w:t>
      </w:r>
      <w:r>
        <w:rPr>
          <w:rFonts w:ascii="Times New Roman" w:hAnsi="Times New Roman" w:cs="Times New Roman"/>
          <w:sz w:val="24"/>
          <w:szCs w:val="24"/>
        </w:rPr>
        <w:t xml:space="preserve">ended into how to limit the gap between the rich and poor by </w:t>
      </w:r>
      <w:r w:rsidR="00485EF6">
        <w:rPr>
          <w:rFonts w:ascii="Times New Roman" w:hAnsi="Times New Roman" w:cs="Times New Roman"/>
          <w:sz w:val="24"/>
          <w:szCs w:val="24"/>
        </w:rPr>
        <w:t xml:space="preserve">either </w:t>
      </w:r>
      <w:r>
        <w:rPr>
          <w:rFonts w:ascii="Times New Roman" w:hAnsi="Times New Roman" w:cs="Times New Roman"/>
          <w:sz w:val="24"/>
          <w:szCs w:val="24"/>
        </w:rPr>
        <w:t xml:space="preserve">expanding participation in the market enclave through reallocating the incremental increase </w:t>
      </w:r>
      <w:r w:rsidR="00485EF6">
        <w:rPr>
          <w:rFonts w:ascii="Times New Roman" w:hAnsi="Times New Roman" w:cs="Times New Roman"/>
          <w:sz w:val="24"/>
          <w:szCs w:val="24"/>
        </w:rPr>
        <w:t>of an expanding</w:t>
      </w:r>
      <w:r>
        <w:rPr>
          <w:rFonts w:ascii="Times New Roman" w:hAnsi="Times New Roman" w:cs="Times New Roman"/>
          <w:sz w:val="24"/>
          <w:szCs w:val="24"/>
        </w:rPr>
        <w:t xml:space="preserve"> e</w:t>
      </w:r>
      <w:r w:rsidR="00485EF6">
        <w:rPr>
          <w:rFonts w:ascii="Times New Roman" w:hAnsi="Times New Roman" w:cs="Times New Roman"/>
          <w:sz w:val="24"/>
          <w:szCs w:val="24"/>
        </w:rPr>
        <w:t>conomy,</w:t>
      </w:r>
      <w:r>
        <w:rPr>
          <w:rFonts w:ascii="Times New Roman" w:hAnsi="Times New Roman" w:cs="Times New Roman"/>
          <w:sz w:val="24"/>
          <w:szCs w:val="24"/>
        </w:rPr>
        <w:t xml:space="preserve"> or through </w:t>
      </w:r>
      <w:r w:rsidR="00485EF6">
        <w:rPr>
          <w:rFonts w:ascii="Times New Roman" w:hAnsi="Times New Roman" w:cs="Times New Roman"/>
          <w:sz w:val="24"/>
          <w:szCs w:val="24"/>
        </w:rPr>
        <w:t xml:space="preserve">income </w:t>
      </w:r>
      <w:r>
        <w:rPr>
          <w:rFonts w:ascii="Times New Roman" w:hAnsi="Times New Roman" w:cs="Times New Roman"/>
          <w:sz w:val="24"/>
          <w:szCs w:val="24"/>
        </w:rPr>
        <w:t>re</w:t>
      </w:r>
      <w:r w:rsidR="00485EF6">
        <w:rPr>
          <w:rFonts w:ascii="Times New Roman" w:hAnsi="Times New Roman" w:cs="Times New Roman"/>
          <w:sz w:val="24"/>
          <w:szCs w:val="24"/>
        </w:rPr>
        <w:t>distribution</w:t>
      </w:r>
      <w:r w:rsidR="006F60A5">
        <w:rPr>
          <w:rFonts w:ascii="Times New Roman" w:hAnsi="Times New Roman" w:cs="Times New Roman"/>
          <w:sz w:val="24"/>
          <w:szCs w:val="24"/>
        </w:rPr>
        <w:t xml:space="preserve"> in a relatively static eco</w:t>
      </w:r>
      <w:r w:rsidR="00DA6022">
        <w:rPr>
          <w:rFonts w:ascii="Times New Roman" w:hAnsi="Times New Roman" w:cs="Times New Roman"/>
          <w:sz w:val="24"/>
          <w:szCs w:val="24"/>
        </w:rPr>
        <w:t>n</w:t>
      </w:r>
      <w:r w:rsidR="006F60A5">
        <w:rPr>
          <w:rFonts w:ascii="Times New Roman" w:hAnsi="Times New Roman" w:cs="Times New Roman"/>
          <w:sz w:val="24"/>
          <w:szCs w:val="24"/>
        </w:rPr>
        <w:t>o</w:t>
      </w:r>
      <w:r w:rsidR="00DA6022">
        <w:rPr>
          <w:rFonts w:ascii="Times New Roman" w:hAnsi="Times New Roman" w:cs="Times New Roman"/>
          <w:sz w:val="24"/>
          <w:szCs w:val="24"/>
        </w:rPr>
        <w:t>m</w:t>
      </w:r>
      <w:r w:rsidR="006F60A5">
        <w:rPr>
          <w:rFonts w:ascii="Times New Roman" w:hAnsi="Times New Roman" w:cs="Times New Roman"/>
          <w:sz w:val="24"/>
          <w:szCs w:val="24"/>
        </w:rPr>
        <w:t>y</w:t>
      </w:r>
      <w:r w:rsidR="00485EF6">
        <w:rPr>
          <w:rFonts w:ascii="Times New Roman" w:hAnsi="Times New Roman" w:cs="Times New Roman"/>
          <w:sz w:val="24"/>
          <w:szCs w:val="24"/>
        </w:rPr>
        <w:t xml:space="preserve">. </w:t>
      </w:r>
      <w:r>
        <w:rPr>
          <w:rFonts w:ascii="Times New Roman" w:hAnsi="Times New Roman" w:cs="Times New Roman"/>
          <w:sz w:val="24"/>
          <w:szCs w:val="24"/>
        </w:rPr>
        <w:t xml:space="preserve"> However, if one were to look at th</w:t>
      </w:r>
      <w:r w:rsidR="00485EF6">
        <w:rPr>
          <w:rFonts w:ascii="Times New Roman" w:hAnsi="Times New Roman" w:cs="Times New Roman"/>
          <w:sz w:val="24"/>
          <w:szCs w:val="24"/>
        </w:rPr>
        <w:t xml:space="preserve">is issue through the lens of the Para-economic </w:t>
      </w:r>
      <w:r w:rsidR="00AF291A">
        <w:rPr>
          <w:rFonts w:ascii="Times New Roman" w:hAnsi="Times New Roman" w:cs="Times New Roman"/>
          <w:sz w:val="24"/>
          <w:szCs w:val="24"/>
        </w:rPr>
        <w:t>P</w:t>
      </w:r>
      <w:r w:rsidR="00485EF6">
        <w:rPr>
          <w:rFonts w:ascii="Times New Roman" w:hAnsi="Times New Roman" w:cs="Times New Roman"/>
          <w:sz w:val="24"/>
          <w:szCs w:val="24"/>
        </w:rPr>
        <w:t>aradigm,</w:t>
      </w:r>
      <w:r>
        <w:rPr>
          <w:rFonts w:ascii="Times New Roman" w:hAnsi="Times New Roman" w:cs="Times New Roman"/>
          <w:sz w:val="24"/>
          <w:szCs w:val="24"/>
        </w:rPr>
        <w:t xml:space="preserve"> an alternative </w:t>
      </w:r>
      <w:r w:rsidR="00485EF6">
        <w:rPr>
          <w:rFonts w:ascii="Times New Roman" w:hAnsi="Times New Roman" w:cs="Times New Roman"/>
          <w:sz w:val="24"/>
          <w:szCs w:val="24"/>
        </w:rPr>
        <w:t xml:space="preserve">and ultimately less expensive and more humanly gratifying </w:t>
      </w:r>
      <w:r>
        <w:rPr>
          <w:rFonts w:ascii="Times New Roman" w:hAnsi="Times New Roman" w:cs="Times New Roman"/>
          <w:sz w:val="24"/>
          <w:szCs w:val="24"/>
        </w:rPr>
        <w:t xml:space="preserve">strategy seems possible. </w:t>
      </w:r>
    </w:p>
    <w:p w14:paraId="5F891C08" w14:textId="53BCDBC3" w:rsidR="00BD68EC" w:rsidRDefault="00F06F70" w:rsidP="00591A9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As shown by the following </w:t>
      </w:r>
      <w:r w:rsidR="00DA6022">
        <w:rPr>
          <w:rFonts w:ascii="Times New Roman" w:hAnsi="Times New Roman" w:cs="Times New Roman"/>
          <w:sz w:val="24"/>
          <w:szCs w:val="24"/>
        </w:rPr>
        <w:t xml:space="preserve">two </w:t>
      </w:r>
      <w:r>
        <w:rPr>
          <w:rFonts w:ascii="Times New Roman" w:hAnsi="Times New Roman" w:cs="Times New Roman"/>
          <w:sz w:val="24"/>
          <w:szCs w:val="24"/>
        </w:rPr>
        <w:t xml:space="preserve">diagrams, I conducted a theoretical analysis of the relationship </w:t>
      </w:r>
      <w:r w:rsidR="00866B77">
        <w:rPr>
          <w:rFonts w:ascii="Times New Roman" w:hAnsi="Times New Roman" w:cs="Times New Roman"/>
          <w:sz w:val="24"/>
          <w:szCs w:val="24"/>
        </w:rPr>
        <w:t>of those market enclave participants whose control over productive power in the market enclave is greater than their own personal productive power (</w:t>
      </w:r>
      <w:r w:rsidR="00DA6022">
        <w:rPr>
          <w:rFonts w:ascii="Times New Roman" w:hAnsi="Times New Roman" w:cs="Times New Roman"/>
          <w:sz w:val="24"/>
          <w:szCs w:val="24"/>
        </w:rPr>
        <w:t>economically</w:t>
      </w:r>
      <w:r w:rsidR="00866B77">
        <w:rPr>
          <w:rFonts w:ascii="Times New Roman" w:hAnsi="Times New Roman" w:cs="Times New Roman"/>
          <w:sz w:val="24"/>
          <w:szCs w:val="24"/>
        </w:rPr>
        <w:t xml:space="preserve"> advantaged</w:t>
      </w:r>
      <w:r w:rsidR="00D751F8">
        <w:rPr>
          <w:rFonts w:ascii="Times New Roman" w:hAnsi="Times New Roman" w:cs="Times New Roman"/>
          <w:sz w:val="24"/>
          <w:szCs w:val="24"/>
        </w:rPr>
        <w:t xml:space="preserve"> people</w:t>
      </w:r>
      <w:r w:rsidR="00866B77">
        <w:rPr>
          <w:rFonts w:ascii="Times New Roman" w:hAnsi="Times New Roman" w:cs="Times New Roman"/>
          <w:sz w:val="24"/>
          <w:szCs w:val="24"/>
        </w:rPr>
        <w:t xml:space="preserve">) versus those whose control over productive power in the market </w:t>
      </w:r>
      <w:r w:rsidR="00177FE3">
        <w:rPr>
          <w:rFonts w:ascii="Times New Roman" w:hAnsi="Times New Roman" w:cs="Times New Roman"/>
          <w:sz w:val="24"/>
          <w:szCs w:val="24"/>
        </w:rPr>
        <w:t xml:space="preserve">enclave </w:t>
      </w:r>
      <w:r w:rsidR="00866B77">
        <w:rPr>
          <w:rFonts w:ascii="Times New Roman" w:hAnsi="Times New Roman" w:cs="Times New Roman"/>
          <w:sz w:val="24"/>
          <w:szCs w:val="24"/>
        </w:rPr>
        <w:t>is less that their own personal productive power (economi</w:t>
      </w:r>
      <w:r w:rsidR="00DA6022">
        <w:rPr>
          <w:rFonts w:ascii="Times New Roman" w:hAnsi="Times New Roman" w:cs="Times New Roman"/>
          <w:sz w:val="24"/>
          <w:szCs w:val="24"/>
        </w:rPr>
        <w:t>cally</w:t>
      </w:r>
      <w:r w:rsidR="00866B77">
        <w:rPr>
          <w:rFonts w:ascii="Times New Roman" w:hAnsi="Times New Roman" w:cs="Times New Roman"/>
          <w:sz w:val="24"/>
          <w:szCs w:val="24"/>
        </w:rPr>
        <w:t xml:space="preserve"> disadvantaged</w:t>
      </w:r>
      <w:r w:rsidR="00D751F8">
        <w:rPr>
          <w:rFonts w:ascii="Times New Roman" w:hAnsi="Times New Roman" w:cs="Times New Roman"/>
          <w:sz w:val="24"/>
          <w:szCs w:val="24"/>
        </w:rPr>
        <w:t xml:space="preserve"> people</w:t>
      </w:r>
      <w:r w:rsidR="00866B77">
        <w:rPr>
          <w:rFonts w:ascii="Times New Roman" w:hAnsi="Times New Roman" w:cs="Times New Roman"/>
          <w:sz w:val="24"/>
          <w:szCs w:val="24"/>
        </w:rPr>
        <w:t xml:space="preserve">). As a result of this analysis, I concluded that it </w:t>
      </w:r>
      <w:r w:rsidR="00DA6022">
        <w:rPr>
          <w:rFonts w:ascii="Times New Roman" w:hAnsi="Times New Roman" w:cs="Times New Roman"/>
          <w:sz w:val="24"/>
          <w:szCs w:val="24"/>
        </w:rPr>
        <w:t xml:space="preserve">could </w:t>
      </w:r>
      <w:r w:rsidR="00866B77">
        <w:rPr>
          <w:rFonts w:ascii="Times New Roman" w:hAnsi="Times New Roman" w:cs="Times New Roman"/>
          <w:sz w:val="24"/>
          <w:szCs w:val="24"/>
        </w:rPr>
        <w:t>cost much less to reallocate wealth/income to enable economic</w:t>
      </w:r>
      <w:r w:rsidR="00DA6022">
        <w:rPr>
          <w:rFonts w:ascii="Times New Roman" w:hAnsi="Times New Roman" w:cs="Times New Roman"/>
          <w:sz w:val="24"/>
          <w:szCs w:val="24"/>
        </w:rPr>
        <w:t>ally</w:t>
      </w:r>
      <w:r w:rsidR="00866B77">
        <w:rPr>
          <w:rFonts w:ascii="Times New Roman" w:hAnsi="Times New Roman" w:cs="Times New Roman"/>
          <w:sz w:val="24"/>
          <w:szCs w:val="24"/>
        </w:rPr>
        <w:t xml:space="preserve"> disadvantaged market </w:t>
      </w:r>
      <w:r w:rsidR="00177FE3">
        <w:rPr>
          <w:rFonts w:ascii="Times New Roman" w:hAnsi="Times New Roman" w:cs="Times New Roman"/>
          <w:sz w:val="24"/>
          <w:szCs w:val="24"/>
        </w:rPr>
        <w:t xml:space="preserve">enclave </w:t>
      </w:r>
      <w:r w:rsidR="00866B77">
        <w:rPr>
          <w:rFonts w:ascii="Times New Roman" w:hAnsi="Times New Roman" w:cs="Times New Roman"/>
          <w:sz w:val="24"/>
          <w:szCs w:val="24"/>
        </w:rPr>
        <w:t xml:space="preserve">participants to remove themselves to some degree from the market enclave </w:t>
      </w:r>
      <w:r w:rsidR="00177FE3">
        <w:rPr>
          <w:rFonts w:ascii="Times New Roman" w:hAnsi="Times New Roman" w:cs="Times New Roman"/>
          <w:sz w:val="24"/>
          <w:szCs w:val="24"/>
        </w:rPr>
        <w:t xml:space="preserve">and </w:t>
      </w:r>
      <w:r w:rsidR="00CF6AEB">
        <w:rPr>
          <w:rFonts w:ascii="Times New Roman" w:hAnsi="Times New Roman" w:cs="Times New Roman"/>
          <w:sz w:val="24"/>
          <w:szCs w:val="24"/>
        </w:rPr>
        <w:t>still</w:t>
      </w:r>
      <w:r w:rsidR="00177FE3">
        <w:rPr>
          <w:rFonts w:ascii="Times New Roman" w:hAnsi="Times New Roman" w:cs="Times New Roman"/>
          <w:sz w:val="24"/>
          <w:szCs w:val="24"/>
        </w:rPr>
        <w:t xml:space="preserve"> participat</w:t>
      </w:r>
      <w:r w:rsidR="00AE0C6F">
        <w:rPr>
          <w:rFonts w:ascii="Times New Roman" w:hAnsi="Times New Roman" w:cs="Times New Roman"/>
          <w:sz w:val="24"/>
          <w:szCs w:val="24"/>
        </w:rPr>
        <w:t>e</w:t>
      </w:r>
      <w:r w:rsidR="00177FE3">
        <w:rPr>
          <w:rFonts w:ascii="Times New Roman" w:hAnsi="Times New Roman" w:cs="Times New Roman"/>
          <w:sz w:val="24"/>
          <w:szCs w:val="24"/>
        </w:rPr>
        <w:t xml:space="preserve"> in productive efforts in isonomies and/or phenonomies </w:t>
      </w:r>
      <w:r w:rsidR="00866B77">
        <w:rPr>
          <w:rFonts w:ascii="Times New Roman" w:hAnsi="Times New Roman" w:cs="Times New Roman"/>
          <w:sz w:val="24"/>
          <w:szCs w:val="24"/>
        </w:rPr>
        <w:t xml:space="preserve">than to reallocate </w:t>
      </w:r>
      <w:r w:rsidR="00866B77">
        <w:rPr>
          <w:rFonts w:ascii="Times New Roman" w:hAnsi="Times New Roman" w:cs="Times New Roman"/>
          <w:sz w:val="24"/>
          <w:szCs w:val="24"/>
        </w:rPr>
        <w:lastRenderedPageBreak/>
        <w:t>wealth/income</w:t>
      </w:r>
      <w:r w:rsidR="00177FE3">
        <w:rPr>
          <w:rFonts w:ascii="Times New Roman" w:hAnsi="Times New Roman" w:cs="Times New Roman"/>
          <w:sz w:val="24"/>
          <w:szCs w:val="24"/>
        </w:rPr>
        <w:t xml:space="preserve"> to transform them into economic</w:t>
      </w:r>
      <w:r w:rsidR="00CD0CFA">
        <w:rPr>
          <w:rFonts w:ascii="Times New Roman" w:hAnsi="Times New Roman" w:cs="Times New Roman"/>
          <w:sz w:val="24"/>
          <w:szCs w:val="24"/>
        </w:rPr>
        <w:t>ally</w:t>
      </w:r>
      <w:r w:rsidR="00177FE3">
        <w:rPr>
          <w:rFonts w:ascii="Times New Roman" w:hAnsi="Times New Roman" w:cs="Times New Roman"/>
          <w:sz w:val="24"/>
          <w:szCs w:val="24"/>
        </w:rPr>
        <w:t xml:space="preserve"> advantaged market enclave participants</w:t>
      </w:r>
      <w:r w:rsidR="00CD0CFA">
        <w:rPr>
          <w:rFonts w:ascii="Times New Roman" w:hAnsi="Times New Roman" w:cs="Times New Roman"/>
          <w:sz w:val="24"/>
          <w:szCs w:val="24"/>
        </w:rPr>
        <w:t xml:space="preserve"> through re-education and/or re-training</w:t>
      </w:r>
      <w:r w:rsidR="00177FE3">
        <w:rPr>
          <w:rFonts w:ascii="Times New Roman" w:hAnsi="Times New Roman" w:cs="Times New Roman"/>
          <w:sz w:val="24"/>
          <w:szCs w:val="24"/>
        </w:rPr>
        <w:t>---perhaps by one-half</w:t>
      </w:r>
      <w:r w:rsidR="00AF291A">
        <w:rPr>
          <w:rFonts w:ascii="Times New Roman" w:hAnsi="Times New Roman" w:cs="Times New Roman"/>
          <w:sz w:val="24"/>
          <w:szCs w:val="24"/>
        </w:rPr>
        <w:t>. (5)</w:t>
      </w:r>
    </w:p>
    <w:p w14:paraId="469143B1" w14:textId="77777777" w:rsidR="00DC089E" w:rsidRDefault="00DC089E" w:rsidP="00DC089E">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A73C6" w14:paraId="2C8DDA4B" w14:textId="77777777" w:rsidTr="00C646B2">
        <w:tc>
          <w:tcPr>
            <w:tcW w:w="7308" w:type="dxa"/>
          </w:tcPr>
          <w:p w14:paraId="10FD2865" w14:textId="77777777" w:rsidR="007A73C6" w:rsidRDefault="007A73C6" w:rsidP="00C646B2">
            <w:pPr>
              <w:jc w:val="center"/>
            </w:pPr>
            <w:r>
              <w:rPr>
                <w:noProof/>
              </w:rPr>
              <w:drawing>
                <wp:inline distT="0" distB="0" distL="0" distR="0" wp14:anchorId="233DE729" wp14:editId="5DFC22CD">
                  <wp:extent cx="2819400" cy="2819400"/>
                  <wp:effectExtent l="0" t="0" r="0" b="0"/>
                  <wp:docPr id="1" name="Picture 1" descr="Dia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p>
        </w:tc>
        <w:tc>
          <w:tcPr>
            <w:tcW w:w="7308" w:type="dxa"/>
          </w:tcPr>
          <w:p w14:paraId="5B0366DC" w14:textId="77777777" w:rsidR="007A73C6" w:rsidRDefault="007A73C6" w:rsidP="00C646B2">
            <w:pPr>
              <w:jc w:val="center"/>
            </w:pPr>
            <w:r>
              <w:rPr>
                <w:noProof/>
              </w:rPr>
              <w:drawing>
                <wp:inline distT="0" distB="0" distL="0" distR="0" wp14:anchorId="76315948" wp14:editId="03D7D683">
                  <wp:extent cx="2819400" cy="2819400"/>
                  <wp:effectExtent l="0" t="0" r="0" b="0"/>
                  <wp:docPr id="7" name="Picture 7" descr="C:\Users\User\AppData\Local\Microsoft\Windows\INetCache\Content.Word\Di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Diagram2.jpg"/>
                          <pic:cNvPicPr>
                            <a:picLocks noChangeAspect="1" noChangeArrowheads="1"/>
                          </pic:cNvPicPr>
                        </pic:nvPicPr>
                        <pic:blipFill>
                          <a:blip r:embed="rId10" cstate="print"/>
                          <a:srcRect/>
                          <a:stretch>
                            <a:fillRect/>
                          </a:stretch>
                        </pic:blipFill>
                        <pic:spPr bwMode="auto">
                          <a:xfrm>
                            <a:off x="0" y="0"/>
                            <a:ext cx="2824049" cy="2824049"/>
                          </a:xfrm>
                          <a:prstGeom prst="rect">
                            <a:avLst/>
                          </a:prstGeom>
                          <a:noFill/>
                          <a:ln w="9525">
                            <a:noFill/>
                            <a:miter lim="800000"/>
                            <a:headEnd/>
                            <a:tailEnd/>
                          </a:ln>
                        </pic:spPr>
                      </pic:pic>
                    </a:graphicData>
                  </a:graphic>
                </wp:inline>
              </w:drawing>
            </w:r>
          </w:p>
        </w:tc>
      </w:tr>
      <w:tr w:rsidR="007A73C6" w14:paraId="428FD728" w14:textId="77777777" w:rsidTr="00C646B2">
        <w:tc>
          <w:tcPr>
            <w:tcW w:w="7308" w:type="dxa"/>
          </w:tcPr>
          <w:p w14:paraId="58FC36F4" w14:textId="3F97942B" w:rsidR="007A73C6" w:rsidRPr="00073CE4" w:rsidRDefault="007A73C6" w:rsidP="007A73C6">
            <w:pPr>
              <w:pStyle w:val="ListParagraph"/>
              <w:numPr>
                <w:ilvl w:val="0"/>
                <w:numId w:val="9"/>
              </w:numPr>
              <w:tabs>
                <w:tab w:val="decimal" w:pos="288"/>
              </w:tabs>
              <w:rPr>
                <w:color w:val="000000"/>
              </w:rPr>
            </w:pPr>
            <w:r w:rsidRPr="00073CE4">
              <w:rPr>
                <w:color w:val="000000"/>
              </w:rPr>
              <w:t xml:space="preserve">A-B is the number of persons participating in </w:t>
            </w:r>
            <w:r w:rsidR="006B306B">
              <w:rPr>
                <w:color w:val="000000"/>
              </w:rPr>
              <w:t xml:space="preserve">the </w:t>
            </w:r>
            <w:r w:rsidRPr="00073CE4">
              <w:rPr>
                <w:color w:val="000000"/>
              </w:rPr>
              <w:t>market (price-exchange) system.</w:t>
            </w:r>
          </w:p>
          <w:p w14:paraId="5ED501F6" w14:textId="77777777" w:rsidR="007A73C6" w:rsidRPr="00073CE4" w:rsidRDefault="007A73C6" w:rsidP="007A73C6">
            <w:pPr>
              <w:pStyle w:val="ListParagraph"/>
              <w:numPr>
                <w:ilvl w:val="0"/>
                <w:numId w:val="9"/>
              </w:numPr>
              <w:tabs>
                <w:tab w:val="decimal" w:pos="288"/>
              </w:tabs>
              <w:rPr>
                <w:color w:val="000000"/>
              </w:rPr>
            </w:pPr>
            <w:r w:rsidRPr="00073CE4">
              <w:rPr>
                <w:color w:val="000000"/>
              </w:rPr>
              <w:t>A-C is the group whose control over personal productive power is greater than their own personal productive power.</w:t>
            </w:r>
          </w:p>
          <w:p w14:paraId="2CB9139C" w14:textId="12336067" w:rsidR="007A73C6" w:rsidRPr="00073CE4" w:rsidRDefault="007A73C6" w:rsidP="007A73C6">
            <w:pPr>
              <w:pStyle w:val="ListParagraph"/>
              <w:numPr>
                <w:ilvl w:val="0"/>
                <w:numId w:val="9"/>
              </w:numPr>
              <w:tabs>
                <w:tab w:val="decimal" w:pos="288"/>
              </w:tabs>
              <w:rPr>
                <w:color w:val="000000"/>
              </w:rPr>
            </w:pPr>
            <w:r w:rsidRPr="00073CE4">
              <w:rPr>
                <w:color w:val="000000"/>
              </w:rPr>
              <w:t>C-</w:t>
            </w:r>
            <w:r w:rsidR="006B306B">
              <w:rPr>
                <w:color w:val="000000"/>
              </w:rPr>
              <w:t>B</w:t>
            </w:r>
            <w:r w:rsidRPr="00073CE4">
              <w:rPr>
                <w:color w:val="000000"/>
              </w:rPr>
              <w:t xml:space="preserve"> is the group whose control over personal productive power is les</w:t>
            </w:r>
            <w:r>
              <w:rPr>
                <w:color w:val="000000"/>
              </w:rPr>
              <w:t>s</w:t>
            </w:r>
            <w:r w:rsidRPr="00073CE4">
              <w:rPr>
                <w:color w:val="000000"/>
              </w:rPr>
              <w:t xml:space="preserve"> than their own personal productive power.</w:t>
            </w:r>
          </w:p>
          <w:p w14:paraId="533207F6" w14:textId="77777777" w:rsidR="007A73C6" w:rsidRPr="00073CE4" w:rsidRDefault="007A73C6" w:rsidP="007A73C6">
            <w:pPr>
              <w:pStyle w:val="ListParagraph"/>
              <w:numPr>
                <w:ilvl w:val="0"/>
                <w:numId w:val="9"/>
              </w:numPr>
              <w:tabs>
                <w:tab w:val="decimal" w:pos="288"/>
              </w:tabs>
              <w:rPr>
                <w:color w:val="000000"/>
              </w:rPr>
            </w:pPr>
            <w:r w:rsidRPr="00073CE4">
              <w:rPr>
                <w:color w:val="000000"/>
              </w:rPr>
              <w:t>C-D is the total number of people in the population.</w:t>
            </w:r>
          </w:p>
          <w:p w14:paraId="41683C5D" w14:textId="77039B79" w:rsidR="007A73C6" w:rsidRPr="00073CE4" w:rsidRDefault="007A73C6" w:rsidP="007A73C6">
            <w:pPr>
              <w:pStyle w:val="ListParagraph"/>
              <w:numPr>
                <w:ilvl w:val="0"/>
                <w:numId w:val="9"/>
              </w:numPr>
              <w:tabs>
                <w:tab w:val="decimal" w:pos="288"/>
              </w:tabs>
              <w:rPr>
                <w:color w:val="000000"/>
              </w:rPr>
            </w:pPr>
            <w:r w:rsidRPr="00073CE4">
              <w:rPr>
                <w:color w:val="000000"/>
              </w:rPr>
              <w:t xml:space="preserve">E-D is the number of people who </w:t>
            </w:r>
            <w:r w:rsidR="006B306B">
              <w:rPr>
                <w:color w:val="000000"/>
              </w:rPr>
              <w:t>o</w:t>
            </w:r>
            <w:r w:rsidRPr="00073CE4">
              <w:rPr>
                <w:color w:val="000000"/>
              </w:rPr>
              <w:t xml:space="preserve">wn a controlling share of the means of production </w:t>
            </w:r>
            <w:r w:rsidR="006B306B">
              <w:rPr>
                <w:color w:val="000000"/>
              </w:rPr>
              <w:t>i</w:t>
            </w:r>
            <w:r w:rsidRPr="00073CE4">
              <w:rPr>
                <w:color w:val="000000"/>
              </w:rPr>
              <w:t xml:space="preserve">n the society. (e.g. </w:t>
            </w:r>
            <w:r>
              <w:rPr>
                <w:color w:val="000000"/>
              </w:rPr>
              <w:t>50%+)</w:t>
            </w:r>
          </w:p>
          <w:p w14:paraId="56E08703" w14:textId="52593EBF" w:rsidR="007A73C6" w:rsidRPr="00073CE4" w:rsidRDefault="007A73C6" w:rsidP="007A73C6">
            <w:pPr>
              <w:pStyle w:val="ListParagraph"/>
              <w:numPr>
                <w:ilvl w:val="0"/>
                <w:numId w:val="9"/>
              </w:numPr>
              <w:tabs>
                <w:tab w:val="decimal" w:pos="288"/>
              </w:tabs>
              <w:rPr>
                <w:color w:val="000000"/>
              </w:rPr>
            </w:pPr>
            <w:r w:rsidRPr="00073CE4">
              <w:rPr>
                <w:color w:val="000000"/>
              </w:rPr>
              <w:t>C-B-E is the power of the advantaged groups: A-C/E</w:t>
            </w:r>
            <w:r w:rsidR="006B306B">
              <w:rPr>
                <w:color w:val="000000"/>
              </w:rPr>
              <w:t>-</w:t>
            </w:r>
            <w:r w:rsidRPr="00073CE4">
              <w:rPr>
                <w:color w:val="000000"/>
              </w:rPr>
              <w:t>D.</w:t>
            </w:r>
          </w:p>
          <w:p w14:paraId="7EA86603" w14:textId="77777777" w:rsidR="007A73C6" w:rsidRPr="00073CE4" w:rsidRDefault="007A73C6" w:rsidP="007A73C6">
            <w:pPr>
              <w:pStyle w:val="ListParagraph"/>
              <w:numPr>
                <w:ilvl w:val="0"/>
                <w:numId w:val="9"/>
              </w:numPr>
              <w:tabs>
                <w:tab w:val="decimal" w:pos="288"/>
              </w:tabs>
              <w:rPr>
                <w:color w:val="000000"/>
              </w:rPr>
            </w:pPr>
            <w:r w:rsidRPr="00073CE4">
              <w:rPr>
                <w:color w:val="000000"/>
              </w:rPr>
              <w:t>F-E-D is the power of the disadvantaged groups: C-B/C-E.</w:t>
            </w:r>
          </w:p>
        </w:tc>
        <w:tc>
          <w:tcPr>
            <w:tcW w:w="7308" w:type="dxa"/>
          </w:tcPr>
          <w:p w14:paraId="1D5E7ED2" w14:textId="6CD1D2CD" w:rsidR="007A73C6" w:rsidRPr="00073CE4" w:rsidRDefault="007A73C6" w:rsidP="007A73C6">
            <w:pPr>
              <w:pStyle w:val="ListParagraph"/>
              <w:numPr>
                <w:ilvl w:val="0"/>
                <w:numId w:val="10"/>
              </w:numPr>
              <w:tabs>
                <w:tab w:val="decimal" w:pos="288"/>
              </w:tabs>
              <w:rPr>
                <w:color w:val="000000"/>
              </w:rPr>
            </w:pPr>
            <w:r w:rsidRPr="00073CE4">
              <w:rPr>
                <w:color w:val="000000"/>
              </w:rPr>
              <w:t xml:space="preserve">To increase the power of the disadvantaged group(s), the traditional approach it to redistribute wealth/ income and thus increase the number. </w:t>
            </w:r>
            <w:r w:rsidR="006B306B">
              <w:rPr>
                <w:color w:val="000000"/>
              </w:rPr>
              <w:t>o</w:t>
            </w:r>
            <w:r w:rsidRPr="00073CE4">
              <w:rPr>
                <w:color w:val="000000"/>
              </w:rPr>
              <w:t>f people, D-E to D-E1 owning a controlling share of the means of production, while decreasing the number of power disadvantaged people in the market by B-B1.</w:t>
            </w:r>
          </w:p>
          <w:p w14:paraId="4D341056" w14:textId="7D31E340" w:rsidR="007A73C6" w:rsidRPr="00073CE4" w:rsidRDefault="007A73C6" w:rsidP="007A73C6">
            <w:pPr>
              <w:pStyle w:val="ListParagraph"/>
              <w:numPr>
                <w:ilvl w:val="0"/>
                <w:numId w:val="10"/>
              </w:numPr>
              <w:tabs>
                <w:tab w:val="decimal" w:pos="288"/>
              </w:tabs>
              <w:rPr>
                <w:color w:val="000000"/>
              </w:rPr>
            </w:pPr>
            <w:r>
              <w:rPr>
                <w:color w:val="000000"/>
              </w:rPr>
              <w:t>Alternate</w:t>
            </w:r>
            <w:r w:rsidR="006B306B">
              <w:rPr>
                <w:color w:val="000000"/>
              </w:rPr>
              <w:t>ly</w:t>
            </w:r>
            <w:r>
              <w:rPr>
                <w:color w:val="000000"/>
              </w:rPr>
              <w:t>, a reduction of the s</w:t>
            </w:r>
            <w:r w:rsidRPr="00073CE4">
              <w:rPr>
                <w:color w:val="000000"/>
              </w:rPr>
              <w:t>ame number of power disadvantaged people in the market could be achieved by a lesser redistribution of wealth/income, to Ell rather than El, if the B-B1 group were removed from market processes.</w:t>
            </w:r>
          </w:p>
          <w:p w14:paraId="6163891C" w14:textId="77777777" w:rsidR="007A73C6" w:rsidRDefault="007A73C6" w:rsidP="00C646B2"/>
        </w:tc>
      </w:tr>
    </w:tbl>
    <w:p w14:paraId="610D3BE8" w14:textId="77777777" w:rsidR="00177FE3" w:rsidRDefault="00177FE3" w:rsidP="00674931">
      <w:pPr>
        <w:spacing w:line="240" w:lineRule="auto"/>
        <w:jc w:val="both"/>
        <w:rPr>
          <w:rFonts w:ascii="Times New Roman" w:hAnsi="Times New Roman" w:cs="Times New Roman"/>
          <w:sz w:val="24"/>
          <w:szCs w:val="24"/>
        </w:rPr>
      </w:pPr>
    </w:p>
    <w:p w14:paraId="4EC854DB" w14:textId="77777777" w:rsidR="00177FE3" w:rsidRDefault="00177FE3" w:rsidP="00177FE3">
      <w:pPr>
        <w:spacing w:after="0" w:line="240" w:lineRule="auto"/>
        <w:jc w:val="both"/>
        <w:rPr>
          <w:rFonts w:ascii="Times New Roman" w:hAnsi="Times New Roman" w:cs="Times New Roman"/>
          <w:sz w:val="24"/>
          <w:szCs w:val="24"/>
        </w:rPr>
      </w:pPr>
    </w:p>
    <w:p w14:paraId="7DAA8D5B" w14:textId="77777777" w:rsidR="005463F8" w:rsidRDefault="005463F8" w:rsidP="005463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If this analysis is correct, what could be the source of funding to be reallocated that would enable people to seek to be productive in settings other than the economic enclave? One option could be to institute a Uniform Basic Income (UBI) program to completely or partially replace current social safety net program transfer payments and the associated administrative costs. </w:t>
      </w:r>
    </w:p>
    <w:p w14:paraId="12FDE82D" w14:textId="77777777" w:rsidR="005463F8" w:rsidRDefault="005463F8" w:rsidP="005463F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notion of the state establishing a Universal Basic Income (UBI) can be traced back to the 16</w:t>
      </w:r>
      <w:r w:rsidRPr="007C035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the writings of Sir Thomas More (</w:t>
      </w:r>
      <w:r>
        <w:rPr>
          <w:rFonts w:ascii="Times New Roman" w:hAnsi="Times New Roman" w:cs="Times New Roman"/>
          <w:i/>
          <w:sz w:val="24"/>
          <w:szCs w:val="24"/>
        </w:rPr>
        <w:t>Utopia</w:t>
      </w:r>
      <w:r>
        <w:rPr>
          <w:rFonts w:ascii="Times New Roman" w:hAnsi="Times New Roman" w:cs="Times New Roman"/>
          <w:sz w:val="24"/>
          <w:szCs w:val="24"/>
        </w:rPr>
        <w:t>). During the 20</w:t>
      </w:r>
      <w:r w:rsidRPr="007C035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this idea was widely discussed, and since 2000 there have been several experiments looking at if a UBI system could replace means tested/work (i.e. “job”) required welfare systems. Recently, the United States National League of Cities in October 2018 issued its </w:t>
      </w:r>
      <w:r>
        <w:rPr>
          <w:rFonts w:ascii="Times New Roman" w:hAnsi="Times New Roman" w:cs="Times New Roman"/>
          <w:sz w:val="24"/>
          <w:szCs w:val="24"/>
          <w:u w:val="single"/>
        </w:rPr>
        <w:t>Basic Income in Cities: A Guide to City Experiments and Pilot Projects</w:t>
      </w:r>
      <w:r>
        <w:rPr>
          <w:rFonts w:ascii="Times New Roman" w:hAnsi="Times New Roman" w:cs="Times New Roman"/>
          <w:sz w:val="24"/>
          <w:szCs w:val="24"/>
        </w:rPr>
        <w:t xml:space="preserve"> which stated that “The proposal [UBI] represents a scalable solution that can help us reimagine and improve our social safety net, while encouraging us to reflect on the deeply changing nature of work.” (page 3) In fact, the City of Stockton, California just initiated such a pilot program. (6)</w:t>
      </w:r>
    </w:p>
    <w:p w14:paraId="60AB5B78" w14:textId="364C14D8" w:rsidR="005463F8" w:rsidRDefault="005463F8" w:rsidP="00546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what if we employed a UBI system not only to fully or partially replace current means tested/work required social safety net programs and associated administrative costs, but also as a means for channeling productive effort into isonomic and phenonomic settings for people desiring to not be job holders and/or who are temporarily withdrawing from being a job holder? Such a strategy would certainly add to national wealth even though these activities are not currently counted in GDP calculations. These activities could include volunteering, household management and child rearing, and other productive activities funded by one-way financial transactions (i.e. grants)</w:t>
      </w:r>
      <w:r w:rsidR="00AF291A">
        <w:rPr>
          <w:rFonts w:ascii="Times New Roman" w:hAnsi="Times New Roman" w:cs="Times New Roman"/>
          <w:sz w:val="24"/>
          <w:szCs w:val="24"/>
        </w:rPr>
        <w:t xml:space="preserve"> in addition to UIB payments.</w:t>
      </w:r>
      <w:r>
        <w:rPr>
          <w:rFonts w:ascii="Times New Roman" w:hAnsi="Times New Roman" w:cs="Times New Roman"/>
          <w:sz w:val="24"/>
          <w:szCs w:val="24"/>
        </w:rPr>
        <w:t xml:space="preserve"> </w:t>
      </w:r>
    </w:p>
    <w:p w14:paraId="57FE589B" w14:textId="77777777" w:rsidR="005463F8" w:rsidRDefault="005463F8" w:rsidP="005463F8">
      <w:pPr>
        <w:spacing w:after="0" w:line="240" w:lineRule="auto"/>
        <w:jc w:val="both"/>
        <w:rPr>
          <w:rFonts w:ascii="Times New Roman" w:hAnsi="Times New Roman" w:cs="Times New Roman"/>
          <w:sz w:val="24"/>
          <w:szCs w:val="24"/>
        </w:rPr>
      </w:pPr>
    </w:p>
    <w:p w14:paraId="404F4014" w14:textId="28E0ED5A" w:rsidR="002F45D1" w:rsidRDefault="00CD0CFA" w:rsidP="00546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such a</w:t>
      </w:r>
      <w:r w:rsidR="003E3E2D">
        <w:rPr>
          <w:rFonts w:ascii="Times New Roman" w:hAnsi="Times New Roman" w:cs="Times New Roman"/>
          <w:sz w:val="24"/>
          <w:szCs w:val="24"/>
        </w:rPr>
        <w:t xml:space="preserve"> strategy </w:t>
      </w:r>
      <w:r w:rsidR="005A4696">
        <w:rPr>
          <w:rFonts w:ascii="Times New Roman" w:hAnsi="Times New Roman" w:cs="Times New Roman"/>
          <w:sz w:val="24"/>
          <w:szCs w:val="24"/>
        </w:rPr>
        <w:t xml:space="preserve">were implemented, we </w:t>
      </w:r>
      <w:r w:rsidR="003E3E2D">
        <w:rPr>
          <w:rFonts w:ascii="Times New Roman" w:hAnsi="Times New Roman" w:cs="Times New Roman"/>
          <w:sz w:val="24"/>
          <w:szCs w:val="24"/>
        </w:rPr>
        <w:t>would then require some means to measure the currently uncounted benefits to society</w:t>
      </w:r>
      <w:r w:rsidR="005A4696">
        <w:rPr>
          <w:rFonts w:ascii="Times New Roman" w:hAnsi="Times New Roman" w:cs="Times New Roman"/>
          <w:sz w:val="24"/>
          <w:szCs w:val="24"/>
        </w:rPr>
        <w:t xml:space="preserve"> from these new productive efforts</w:t>
      </w:r>
      <w:r w:rsidR="003E3E2D">
        <w:rPr>
          <w:rFonts w:ascii="Times New Roman" w:hAnsi="Times New Roman" w:cs="Times New Roman"/>
          <w:sz w:val="24"/>
          <w:szCs w:val="24"/>
        </w:rPr>
        <w:t xml:space="preserve">. </w:t>
      </w:r>
      <w:r w:rsidR="007918EF">
        <w:rPr>
          <w:rFonts w:ascii="Times New Roman" w:hAnsi="Times New Roman" w:cs="Times New Roman"/>
          <w:sz w:val="24"/>
          <w:szCs w:val="24"/>
        </w:rPr>
        <w:t>One way to measure such benefits would be to employ the concept of wellbeing.</w:t>
      </w:r>
      <w:r w:rsidR="002F45D1">
        <w:rPr>
          <w:rFonts w:ascii="Times New Roman" w:hAnsi="Times New Roman" w:cs="Times New Roman"/>
          <w:sz w:val="24"/>
          <w:szCs w:val="24"/>
        </w:rPr>
        <w:t xml:space="preserve"> </w:t>
      </w:r>
      <w:r w:rsidR="007918EF">
        <w:rPr>
          <w:rFonts w:ascii="Times New Roman" w:hAnsi="Times New Roman" w:cs="Times New Roman"/>
          <w:sz w:val="24"/>
          <w:szCs w:val="24"/>
        </w:rPr>
        <w:t>T</w:t>
      </w:r>
      <w:r w:rsidR="0059370E">
        <w:rPr>
          <w:rFonts w:ascii="Times New Roman" w:hAnsi="Times New Roman" w:cs="Times New Roman"/>
          <w:sz w:val="24"/>
          <w:szCs w:val="24"/>
        </w:rPr>
        <w:t xml:space="preserve">he goal </w:t>
      </w:r>
      <w:r w:rsidR="002F45D1">
        <w:rPr>
          <w:rFonts w:ascii="Times New Roman" w:hAnsi="Times New Roman" w:cs="Times New Roman"/>
          <w:sz w:val="24"/>
          <w:szCs w:val="24"/>
        </w:rPr>
        <w:t>would</w:t>
      </w:r>
      <w:r w:rsidR="007918EF">
        <w:rPr>
          <w:rFonts w:ascii="Times New Roman" w:hAnsi="Times New Roman" w:cs="Times New Roman"/>
          <w:sz w:val="24"/>
          <w:szCs w:val="24"/>
        </w:rPr>
        <w:t xml:space="preserve"> become</w:t>
      </w:r>
      <w:r w:rsidR="002F45D1">
        <w:rPr>
          <w:rFonts w:ascii="Times New Roman" w:hAnsi="Times New Roman" w:cs="Times New Roman"/>
          <w:sz w:val="24"/>
          <w:szCs w:val="24"/>
        </w:rPr>
        <w:t xml:space="preserve"> be</w:t>
      </w:r>
      <w:r w:rsidR="0059370E">
        <w:rPr>
          <w:rFonts w:ascii="Times New Roman" w:hAnsi="Times New Roman" w:cs="Times New Roman"/>
          <w:sz w:val="24"/>
          <w:szCs w:val="24"/>
        </w:rPr>
        <w:t xml:space="preserve"> to </w:t>
      </w:r>
      <w:r w:rsidR="005A4696">
        <w:rPr>
          <w:rFonts w:ascii="Times New Roman" w:hAnsi="Times New Roman" w:cs="Times New Roman"/>
          <w:sz w:val="24"/>
          <w:szCs w:val="24"/>
        </w:rPr>
        <w:t xml:space="preserve">identify </w:t>
      </w:r>
      <w:r w:rsidR="0059370E">
        <w:rPr>
          <w:rFonts w:ascii="Times New Roman" w:hAnsi="Times New Roman" w:cs="Times New Roman"/>
          <w:sz w:val="24"/>
          <w:szCs w:val="24"/>
        </w:rPr>
        <w:t>wellbeing</w:t>
      </w:r>
      <w:r w:rsidR="005A4696">
        <w:rPr>
          <w:rFonts w:ascii="Times New Roman" w:hAnsi="Times New Roman" w:cs="Times New Roman"/>
          <w:sz w:val="24"/>
          <w:szCs w:val="24"/>
        </w:rPr>
        <w:t xml:space="preserve"> factors (i.e. goals and objectives)</w:t>
      </w:r>
      <w:r w:rsidR="0059370E">
        <w:rPr>
          <w:rFonts w:ascii="Times New Roman" w:hAnsi="Times New Roman" w:cs="Times New Roman"/>
          <w:sz w:val="24"/>
          <w:szCs w:val="24"/>
        </w:rPr>
        <w:t xml:space="preserve">, as defined </w:t>
      </w:r>
      <w:r w:rsidR="00B51389">
        <w:rPr>
          <w:rFonts w:ascii="Times New Roman" w:hAnsi="Times New Roman" w:cs="Times New Roman"/>
          <w:sz w:val="24"/>
          <w:szCs w:val="24"/>
        </w:rPr>
        <w:t xml:space="preserve">and continually redefined </w:t>
      </w:r>
      <w:r w:rsidR="0059370E">
        <w:rPr>
          <w:rFonts w:ascii="Times New Roman" w:hAnsi="Times New Roman" w:cs="Times New Roman"/>
          <w:sz w:val="24"/>
          <w:szCs w:val="24"/>
        </w:rPr>
        <w:t xml:space="preserve">by the affected citizens, </w:t>
      </w:r>
      <w:r w:rsidR="005A4696">
        <w:rPr>
          <w:rFonts w:ascii="Times New Roman" w:hAnsi="Times New Roman" w:cs="Times New Roman"/>
          <w:sz w:val="24"/>
          <w:szCs w:val="24"/>
        </w:rPr>
        <w:t>and institute a process for measuring progress in meeting those goals and objectives.</w:t>
      </w:r>
    </w:p>
    <w:p w14:paraId="75730BAA" w14:textId="77777777" w:rsidR="007918EF" w:rsidRDefault="007918EF" w:rsidP="005463F8">
      <w:pPr>
        <w:spacing w:after="0" w:line="240" w:lineRule="auto"/>
        <w:jc w:val="both"/>
        <w:rPr>
          <w:rFonts w:ascii="Times New Roman" w:hAnsi="Times New Roman" w:cs="Times New Roman"/>
          <w:sz w:val="24"/>
          <w:szCs w:val="24"/>
        </w:rPr>
      </w:pPr>
    </w:p>
    <w:p w14:paraId="2F3D3E5F" w14:textId="167A9916" w:rsidR="00FD35D4" w:rsidRDefault="009D0B41" w:rsidP="00674931">
      <w:pPr>
        <w:spacing w:line="240" w:lineRule="auto"/>
        <w:jc w:val="both"/>
        <w:rPr>
          <w:rFonts w:ascii="Times New Roman" w:hAnsi="Times New Roman" w:cs="Times New Roman"/>
          <w:sz w:val="24"/>
          <w:szCs w:val="24"/>
        </w:rPr>
      </w:pPr>
      <w:r>
        <w:rPr>
          <w:rFonts w:ascii="Times New Roman" w:hAnsi="Times New Roman" w:cs="Times New Roman"/>
          <w:sz w:val="24"/>
          <w:szCs w:val="24"/>
        </w:rPr>
        <w:t>Such</w:t>
      </w:r>
      <w:r w:rsidR="002F45D1">
        <w:rPr>
          <w:rFonts w:ascii="Times New Roman" w:hAnsi="Times New Roman" w:cs="Times New Roman"/>
          <w:sz w:val="24"/>
          <w:szCs w:val="24"/>
        </w:rPr>
        <w:t xml:space="preserve"> efforts are currently underway in the United Kingdom </w:t>
      </w:r>
      <w:r w:rsidR="00AA3435">
        <w:rPr>
          <w:rFonts w:ascii="Times New Roman" w:hAnsi="Times New Roman" w:cs="Times New Roman"/>
          <w:sz w:val="24"/>
          <w:szCs w:val="24"/>
        </w:rPr>
        <w:t xml:space="preserve">(UK) </w:t>
      </w:r>
      <w:r w:rsidR="002F45D1">
        <w:rPr>
          <w:rFonts w:ascii="Times New Roman" w:hAnsi="Times New Roman" w:cs="Times New Roman"/>
          <w:sz w:val="24"/>
          <w:szCs w:val="24"/>
        </w:rPr>
        <w:t xml:space="preserve">and in various OECD countries. </w:t>
      </w:r>
      <w:r w:rsidR="00A009D0">
        <w:rPr>
          <w:rFonts w:ascii="Times New Roman" w:hAnsi="Times New Roman" w:cs="Times New Roman"/>
          <w:sz w:val="24"/>
          <w:szCs w:val="24"/>
        </w:rPr>
        <w:t xml:space="preserve">Based on eight years of effort, </w:t>
      </w:r>
      <w:r w:rsidR="00AA3435">
        <w:rPr>
          <w:rFonts w:ascii="Times New Roman" w:hAnsi="Times New Roman" w:cs="Times New Roman"/>
          <w:sz w:val="24"/>
          <w:szCs w:val="24"/>
        </w:rPr>
        <w:t>in the UK the Office of National Statistics (ONS) has created 43 indicators of well-being (organized into nine categories such as Personal Well-being, Relationships, Health</w:t>
      </w:r>
      <w:r w:rsidR="00AE0C6F">
        <w:rPr>
          <w:rFonts w:ascii="Times New Roman" w:hAnsi="Times New Roman" w:cs="Times New Roman"/>
          <w:sz w:val="24"/>
          <w:szCs w:val="24"/>
        </w:rPr>
        <w:t>, etc.</w:t>
      </w:r>
      <w:r w:rsidR="00AA3435">
        <w:rPr>
          <w:rFonts w:ascii="Times New Roman" w:hAnsi="Times New Roman" w:cs="Times New Roman"/>
          <w:sz w:val="24"/>
          <w:szCs w:val="24"/>
        </w:rPr>
        <w:t xml:space="preserve">). The process of creating these indicators involved extensive citizen </w:t>
      </w:r>
      <w:r w:rsidR="00AE0C6F">
        <w:rPr>
          <w:rFonts w:ascii="Times New Roman" w:hAnsi="Times New Roman" w:cs="Times New Roman"/>
          <w:sz w:val="24"/>
          <w:szCs w:val="24"/>
        </w:rPr>
        <w:t>input</w:t>
      </w:r>
      <w:r w:rsidR="00AA3435">
        <w:rPr>
          <w:rFonts w:ascii="Times New Roman" w:hAnsi="Times New Roman" w:cs="Times New Roman"/>
          <w:sz w:val="24"/>
          <w:szCs w:val="24"/>
        </w:rPr>
        <w:t xml:space="preserve">. ONS has been tracking and reporting the data </w:t>
      </w:r>
      <w:r w:rsidR="005A4696">
        <w:rPr>
          <w:rFonts w:ascii="Times New Roman" w:hAnsi="Times New Roman" w:cs="Times New Roman"/>
          <w:sz w:val="24"/>
          <w:szCs w:val="24"/>
        </w:rPr>
        <w:t xml:space="preserve">related to these indicators </w:t>
      </w:r>
      <w:r w:rsidR="00AA3435">
        <w:rPr>
          <w:rFonts w:ascii="Times New Roman" w:hAnsi="Times New Roman" w:cs="Times New Roman"/>
          <w:sz w:val="24"/>
          <w:szCs w:val="24"/>
        </w:rPr>
        <w:t>annually to enable its citizens and policy makers to measure the quality of life as well as the status of its economy.</w:t>
      </w:r>
    </w:p>
    <w:p w14:paraId="5F8AB61E" w14:textId="7F8A0047" w:rsidR="002A6074" w:rsidRDefault="005A4696" w:rsidP="00674931">
      <w:pPr>
        <w:spacing w:line="240" w:lineRule="auto"/>
        <w:jc w:val="both"/>
        <w:rPr>
          <w:rFonts w:ascii="Times New Roman" w:hAnsi="Times New Roman" w:cs="Times New Roman"/>
          <w:sz w:val="24"/>
          <w:szCs w:val="24"/>
        </w:rPr>
      </w:pPr>
      <w:r>
        <w:rPr>
          <w:rFonts w:ascii="Times New Roman" w:hAnsi="Times New Roman" w:cs="Times New Roman"/>
          <w:sz w:val="24"/>
          <w:szCs w:val="24"/>
        </w:rPr>
        <w:t>Next, w</w:t>
      </w:r>
      <w:r w:rsidR="007918EF">
        <w:rPr>
          <w:rFonts w:ascii="Times New Roman" w:hAnsi="Times New Roman" w:cs="Times New Roman"/>
          <w:sz w:val="24"/>
          <w:szCs w:val="24"/>
        </w:rPr>
        <w:t xml:space="preserve">ith </w:t>
      </w:r>
      <w:r>
        <w:rPr>
          <w:rFonts w:ascii="Times New Roman" w:hAnsi="Times New Roman" w:cs="Times New Roman"/>
          <w:sz w:val="24"/>
          <w:szCs w:val="24"/>
        </w:rPr>
        <w:t xml:space="preserve">factors and </w:t>
      </w:r>
      <w:r w:rsidR="007918EF">
        <w:rPr>
          <w:rFonts w:ascii="Times New Roman" w:hAnsi="Times New Roman" w:cs="Times New Roman"/>
          <w:sz w:val="24"/>
          <w:szCs w:val="24"/>
        </w:rPr>
        <w:t xml:space="preserve">measures of wellbeing in hand, the next step would be </w:t>
      </w:r>
      <w:r>
        <w:rPr>
          <w:rFonts w:ascii="Times New Roman" w:hAnsi="Times New Roman" w:cs="Times New Roman"/>
          <w:sz w:val="24"/>
          <w:szCs w:val="24"/>
        </w:rPr>
        <w:t xml:space="preserve">figuring out how to </w:t>
      </w:r>
      <w:r w:rsidR="007918EF">
        <w:rPr>
          <w:rFonts w:ascii="Times New Roman" w:hAnsi="Times New Roman" w:cs="Times New Roman"/>
          <w:sz w:val="24"/>
          <w:szCs w:val="24"/>
        </w:rPr>
        <w:t>consider wellbeing measure</w:t>
      </w:r>
      <w:r>
        <w:rPr>
          <w:rFonts w:ascii="Times New Roman" w:hAnsi="Times New Roman" w:cs="Times New Roman"/>
          <w:sz w:val="24"/>
          <w:szCs w:val="24"/>
        </w:rPr>
        <w:t>ments</w:t>
      </w:r>
      <w:r w:rsidR="007918EF">
        <w:rPr>
          <w:rFonts w:ascii="Times New Roman" w:hAnsi="Times New Roman" w:cs="Times New Roman"/>
          <w:sz w:val="24"/>
          <w:szCs w:val="24"/>
        </w:rPr>
        <w:t xml:space="preserve"> in public policy making and budgeting processes.</w:t>
      </w:r>
      <w:r w:rsidR="00600FC5">
        <w:rPr>
          <w:rFonts w:ascii="Times New Roman" w:hAnsi="Times New Roman" w:cs="Times New Roman"/>
          <w:sz w:val="24"/>
          <w:szCs w:val="24"/>
        </w:rPr>
        <w:t xml:space="preserve">  </w:t>
      </w:r>
      <w:r w:rsidR="00897D1B">
        <w:rPr>
          <w:rFonts w:ascii="Times New Roman" w:hAnsi="Times New Roman" w:cs="Times New Roman"/>
          <w:sz w:val="24"/>
          <w:szCs w:val="24"/>
        </w:rPr>
        <w:t xml:space="preserve">A first </w:t>
      </w:r>
      <w:r w:rsidR="00B2094C">
        <w:rPr>
          <w:rFonts w:ascii="Times New Roman" w:hAnsi="Times New Roman" w:cs="Times New Roman"/>
          <w:sz w:val="24"/>
          <w:szCs w:val="24"/>
        </w:rPr>
        <w:t>effort in this direction</w:t>
      </w:r>
      <w:r w:rsidR="00897D1B">
        <w:rPr>
          <w:rFonts w:ascii="Times New Roman" w:hAnsi="Times New Roman" w:cs="Times New Roman"/>
          <w:sz w:val="24"/>
          <w:szCs w:val="24"/>
        </w:rPr>
        <w:t xml:space="preserve"> is</w:t>
      </w:r>
      <w:r w:rsidR="00600FC5">
        <w:rPr>
          <w:rFonts w:ascii="Times New Roman" w:hAnsi="Times New Roman" w:cs="Times New Roman"/>
          <w:sz w:val="24"/>
          <w:szCs w:val="24"/>
        </w:rPr>
        <w:t xml:space="preserve"> happen</w:t>
      </w:r>
      <w:r>
        <w:rPr>
          <w:rFonts w:ascii="Times New Roman" w:hAnsi="Times New Roman" w:cs="Times New Roman"/>
          <w:sz w:val="24"/>
          <w:szCs w:val="24"/>
        </w:rPr>
        <w:t>ing</w:t>
      </w:r>
      <w:r w:rsidR="00600FC5">
        <w:rPr>
          <w:rFonts w:ascii="Times New Roman" w:hAnsi="Times New Roman" w:cs="Times New Roman"/>
          <w:sz w:val="24"/>
          <w:szCs w:val="24"/>
        </w:rPr>
        <w:t xml:space="preserve"> in New Zealand. </w:t>
      </w:r>
      <w:r w:rsidR="000A41D2">
        <w:rPr>
          <w:rFonts w:ascii="Times New Roman" w:hAnsi="Times New Roman" w:cs="Times New Roman"/>
          <w:sz w:val="24"/>
          <w:szCs w:val="24"/>
        </w:rPr>
        <w:t xml:space="preserve">The </w:t>
      </w:r>
      <w:r w:rsidR="00A6797D">
        <w:rPr>
          <w:rFonts w:ascii="Times New Roman" w:hAnsi="Times New Roman" w:cs="Times New Roman"/>
          <w:sz w:val="24"/>
          <w:szCs w:val="24"/>
        </w:rPr>
        <w:t xml:space="preserve">preparation of the </w:t>
      </w:r>
      <w:r w:rsidR="000A41D2">
        <w:rPr>
          <w:rFonts w:ascii="Times New Roman" w:hAnsi="Times New Roman" w:cs="Times New Roman"/>
          <w:sz w:val="24"/>
          <w:szCs w:val="24"/>
        </w:rPr>
        <w:t xml:space="preserve">country’s 2019 national budget, to be released on May 30, 2019, </w:t>
      </w:r>
      <w:r w:rsidR="00A6797D">
        <w:rPr>
          <w:rFonts w:ascii="Times New Roman" w:hAnsi="Times New Roman" w:cs="Times New Roman"/>
          <w:sz w:val="24"/>
          <w:szCs w:val="24"/>
        </w:rPr>
        <w:t xml:space="preserve">is being guided by </w:t>
      </w:r>
      <w:r w:rsidR="00600FC5">
        <w:rPr>
          <w:rFonts w:ascii="Times New Roman" w:hAnsi="Times New Roman" w:cs="Times New Roman"/>
          <w:sz w:val="24"/>
          <w:szCs w:val="24"/>
        </w:rPr>
        <w:t>The New Zealand government’s 2019 budget policy statement</w:t>
      </w:r>
      <w:r w:rsidR="00A06A7E">
        <w:rPr>
          <w:rFonts w:ascii="Times New Roman" w:hAnsi="Times New Roman" w:cs="Times New Roman"/>
          <w:sz w:val="24"/>
          <w:szCs w:val="24"/>
        </w:rPr>
        <w:t>:</w:t>
      </w:r>
    </w:p>
    <w:p w14:paraId="468B0D4F" w14:textId="3171CDD1" w:rsidR="00600FC5" w:rsidRDefault="00600FC5" w:rsidP="006749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Pr>
          <w:rFonts w:ascii="Times New Roman" w:hAnsi="Times New Roman" w:cs="Times New Roman"/>
          <w:i/>
          <w:sz w:val="24"/>
          <w:szCs w:val="24"/>
        </w:rPr>
        <w:t xml:space="preserve">Budget Policy Statement </w:t>
      </w:r>
      <w:r>
        <w:rPr>
          <w:rFonts w:ascii="Times New Roman" w:hAnsi="Times New Roman" w:cs="Times New Roman"/>
          <w:sz w:val="24"/>
          <w:szCs w:val="24"/>
        </w:rPr>
        <w:t>(BPS) set</w:t>
      </w:r>
      <w:r w:rsidR="00897D1B">
        <w:rPr>
          <w:rFonts w:ascii="Times New Roman" w:hAnsi="Times New Roman" w:cs="Times New Roman"/>
          <w:sz w:val="24"/>
          <w:szCs w:val="24"/>
        </w:rPr>
        <w:t>s</w:t>
      </w:r>
      <w:r>
        <w:rPr>
          <w:rFonts w:ascii="Times New Roman" w:hAnsi="Times New Roman" w:cs="Times New Roman"/>
          <w:sz w:val="24"/>
          <w:szCs w:val="24"/>
        </w:rPr>
        <w:t xml:space="preserve"> out the Coalition Government’s priorities for the 2019 budget. This will be New Zealand’s first Wellbeing Budget and so, for the first time, the BPS contains a Wellbeing Outlook (instead of just an Economic</w:t>
      </w:r>
      <w:r w:rsidR="00CD353A">
        <w:rPr>
          <w:rFonts w:ascii="Times New Roman" w:hAnsi="Times New Roman" w:cs="Times New Roman"/>
          <w:sz w:val="24"/>
          <w:szCs w:val="24"/>
        </w:rPr>
        <w:t xml:space="preserve"> and Fiscal Outlook) that describes the current state of wellbeing in New Zealand and what this may mean for future wellbeing….The BPS also describes the Government’s wellbeing approach and how it is being used in the Budget process. The wellbeing approach </w:t>
      </w:r>
      <w:r w:rsidR="00897D1B">
        <w:rPr>
          <w:rFonts w:ascii="Times New Roman" w:hAnsi="Times New Roman" w:cs="Times New Roman"/>
          <w:sz w:val="24"/>
          <w:szCs w:val="24"/>
        </w:rPr>
        <w:t>has</w:t>
      </w:r>
      <w:r w:rsidR="00CD353A">
        <w:rPr>
          <w:rFonts w:ascii="Times New Roman" w:hAnsi="Times New Roman" w:cs="Times New Roman"/>
          <w:sz w:val="24"/>
          <w:szCs w:val="24"/>
        </w:rPr>
        <w:t xml:space="preserve"> help</w:t>
      </w:r>
      <w:r w:rsidR="00897D1B">
        <w:rPr>
          <w:rFonts w:ascii="Times New Roman" w:hAnsi="Times New Roman" w:cs="Times New Roman"/>
          <w:sz w:val="24"/>
          <w:szCs w:val="24"/>
        </w:rPr>
        <w:t>ed</w:t>
      </w:r>
      <w:r w:rsidR="00CD353A">
        <w:rPr>
          <w:rFonts w:ascii="Times New Roman" w:hAnsi="Times New Roman" w:cs="Times New Roman"/>
          <w:sz w:val="24"/>
          <w:szCs w:val="24"/>
        </w:rPr>
        <w:t xml:space="preserve"> us identify the actions we believe will make the greatest contribution to improving the intergenerational wellbeing on New Zealanders.” (The Treasury, page 1)</w:t>
      </w:r>
      <w:r w:rsidR="00897D1B">
        <w:rPr>
          <w:rFonts w:ascii="Times New Roman" w:hAnsi="Times New Roman" w:cs="Times New Roman"/>
          <w:sz w:val="24"/>
          <w:szCs w:val="24"/>
        </w:rPr>
        <w:t xml:space="preserve"> </w:t>
      </w:r>
    </w:p>
    <w:p w14:paraId="381E36C6" w14:textId="7112028C" w:rsidR="00897D1B" w:rsidRDefault="00897D1B" w:rsidP="0067493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this first effort is to be commended, a critical element </w:t>
      </w:r>
      <w:r w:rsidR="00B2094C">
        <w:rPr>
          <w:rFonts w:ascii="Times New Roman" w:hAnsi="Times New Roman" w:cs="Times New Roman"/>
          <w:sz w:val="24"/>
          <w:szCs w:val="24"/>
        </w:rPr>
        <w:t>seems to be</w:t>
      </w:r>
      <w:r>
        <w:rPr>
          <w:rFonts w:ascii="Times New Roman" w:hAnsi="Times New Roman" w:cs="Times New Roman"/>
          <w:sz w:val="24"/>
          <w:szCs w:val="24"/>
        </w:rPr>
        <w:t xml:space="preserve"> missing: robust interaction with citizens to </w:t>
      </w:r>
      <w:r w:rsidR="00B2094C">
        <w:rPr>
          <w:rFonts w:ascii="Times New Roman" w:hAnsi="Times New Roman" w:cs="Times New Roman"/>
          <w:sz w:val="24"/>
          <w:szCs w:val="24"/>
        </w:rPr>
        <w:t xml:space="preserve">not only </w:t>
      </w:r>
      <w:r w:rsidR="00B262AD">
        <w:rPr>
          <w:rFonts w:ascii="Times New Roman" w:hAnsi="Times New Roman" w:cs="Times New Roman"/>
          <w:sz w:val="24"/>
          <w:szCs w:val="24"/>
        </w:rPr>
        <w:t xml:space="preserve">help </w:t>
      </w:r>
      <w:r>
        <w:rPr>
          <w:rFonts w:ascii="Times New Roman" w:hAnsi="Times New Roman" w:cs="Times New Roman"/>
          <w:sz w:val="24"/>
          <w:szCs w:val="24"/>
        </w:rPr>
        <w:t xml:space="preserve">define appropriate </w:t>
      </w:r>
      <w:r w:rsidR="005A4696">
        <w:rPr>
          <w:rFonts w:ascii="Times New Roman" w:hAnsi="Times New Roman" w:cs="Times New Roman"/>
          <w:sz w:val="24"/>
          <w:szCs w:val="24"/>
        </w:rPr>
        <w:t xml:space="preserve">factors and </w:t>
      </w:r>
      <w:r>
        <w:rPr>
          <w:rFonts w:ascii="Times New Roman" w:hAnsi="Times New Roman" w:cs="Times New Roman"/>
          <w:sz w:val="24"/>
          <w:szCs w:val="24"/>
        </w:rPr>
        <w:t>measures of wellbeing</w:t>
      </w:r>
      <w:r w:rsidR="005A4696">
        <w:rPr>
          <w:rFonts w:ascii="Times New Roman" w:hAnsi="Times New Roman" w:cs="Times New Roman"/>
          <w:sz w:val="24"/>
          <w:szCs w:val="24"/>
        </w:rPr>
        <w:t>,</w:t>
      </w:r>
      <w:r>
        <w:rPr>
          <w:rFonts w:ascii="Times New Roman" w:hAnsi="Times New Roman" w:cs="Times New Roman"/>
          <w:sz w:val="24"/>
          <w:szCs w:val="24"/>
        </w:rPr>
        <w:t xml:space="preserve"> </w:t>
      </w:r>
      <w:r w:rsidR="00B2094C">
        <w:rPr>
          <w:rFonts w:ascii="Times New Roman" w:hAnsi="Times New Roman" w:cs="Times New Roman"/>
          <w:sz w:val="24"/>
          <w:szCs w:val="24"/>
        </w:rPr>
        <w:t>but to also</w:t>
      </w:r>
      <w:r>
        <w:rPr>
          <w:rFonts w:ascii="Times New Roman" w:hAnsi="Times New Roman" w:cs="Times New Roman"/>
          <w:sz w:val="24"/>
          <w:szCs w:val="24"/>
        </w:rPr>
        <w:t xml:space="preserve"> help create programs that would produce the desired wellbeing </w:t>
      </w:r>
      <w:r w:rsidR="00B262AD">
        <w:rPr>
          <w:rFonts w:ascii="Times New Roman" w:hAnsi="Times New Roman" w:cs="Times New Roman"/>
          <w:sz w:val="24"/>
          <w:szCs w:val="24"/>
        </w:rPr>
        <w:t xml:space="preserve">program </w:t>
      </w:r>
      <w:r>
        <w:rPr>
          <w:rFonts w:ascii="Times New Roman" w:hAnsi="Times New Roman" w:cs="Times New Roman"/>
          <w:sz w:val="24"/>
          <w:szCs w:val="24"/>
        </w:rPr>
        <w:t>outcomes</w:t>
      </w:r>
      <w:r w:rsidR="00B2094C">
        <w:rPr>
          <w:rFonts w:ascii="Times New Roman" w:hAnsi="Times New Roman" w:cs="Times New Roman"/>
          <w:sz w:val="24"/>
          <w:szCs w:val="24"/>
        </w:rPr>
        <w:t xml:space="preserve"> and to monitor program implementation.</w:t>
      </w:r>
      <w:r>
        <w:rPr>
          <w:rFonts w:ascii="Times New Roman" w:hAnsi="Times New Roman" w:cs="Times New Roman"/>
          <w:sz w:val="24"/>
          <w:szCs w:val="24"/>
        </w:rPr>
        <w:t xml:space="preserve"> As the following shows</w:t>
      </w:r>
      <w:r w:rsidR="00346ED3">
        <w:rPr>
          <w:rFonts w:ascii="Times New Roman" w:hAnsi="Times New Roman" w:cs="Times New Roman"/>
          <w:sz w:val="24"/>
          <w:szCs w:val="24"/>
        </w:rPr>
        <w:t xml:space="preserve">, </w:t>
      </w:r>
      <w:r w:rsidR="00B262AD">
        <w:rPr>
          <w:rFonts w:ascii="Times New Roman" w:hAnsi="Times New Roman" w:cs="Times New Roman"/>
          <w:sz w:val="24"/>
          <w:szCs w:val="24"/>
        </w:rPr>
        <w:t xml:space="preserve">New Zealand </w:t>
      </w:r>
      <w:r w:rsidR="00A072E8">
        <w:rPr>
          <w:rFonts w:ascii="Times New Roman" w:hAnsi="Times New Roman" w:cs="Times New Roman"/>
          <w:sz w:val="24"/>
          <w:szCs w:val="24"/>
        </w:rPr>
        <w:t>continues to follow a “technocratic</w:t>
      </w:r>
      <w:r w:rsidR="00B2094C">
        <w:rPr>
          <w:rFonts w:ascii="Times New Roman" w:hAnsi="Times New Roman" w:cs="Times New Roman"/>
          <w:sz w:val="24"/>
          <w:szCs w:val="24"/>
        </w:rPr>
        <w:t>,</w:t>
      </w:r>
      <w:r w:rsidR="00A072E8">
        <w:rPr>
          <w:rFonts w:ascii="Times New Roman" w:hAnsi="Times New Roman" w:cs="Times New Roman"/>
          <w:sz w:val="24"/>
          <w:szCs w:val="24"/>
        </w:rPr>
        <w:t xml:space="preserve">” budget development </w:t>
      </w:r>
      <w:r w:rsidR="00B2094C">
        <w:rPr>
          <w:rFonts w:ascii="Times New Roman" w:hAnsi="Times New Roman" w:cs="Times New Roman"/>
          <w:sz w:val="24"/>
          <w:szCs w:val="24"/>
        </w:rPr>
        <w:t xml:space="preserve">and implementation practice </w:t>
      </w:r>
      <w:r w:rsidR="00A072E8">
        <w:rPr>
          <w:rFonts w:ascii="Times New Roman" w:hAnsi="Times New Roman" w:cs="Times New Roman"/>
          <w:sz w:val="24"/>
          <w:szCs w:val="24"/>
        </w:rPr>
        <w:t xml:space="preserve">that is </w:t>
      </w:r>
      <w:r w:rsidR="00B2094C">
        <w:rPr>
          <w:rFonts w:ascii="Times New Roman" w:hAnsi="Times New Roman" w:cs="Times New Roman"/>
          <w:sz w:val="24"/>
          <w:szCs w:val="24"/>
        </w:rPr>
        <w:t>commonly followed</w:t>
      </w:r>
      <w:r w:rsidR="00A072E8">
        <w:rPr>
          <w:rFonts w:ascii="Times New Roman" w:hAnsi="Times New Roman" w:cs="Times New Roman"/>
          <w:sz w:val="24"/>
          <w:szCs w:val="24"/>
        </w:rPr>
        <w:t xml:space="preserve"> in governments around the world</w:t>
      </w:r>
      <w:r w:rsidR="00B2094C">
        <w:rPr>
          <w:rFonts w:ascii="Times New Roman" w:hAnsi="Times New Roman" w:cs="Times New Roman"/>
          <w:sz w:val="24"/>
          <w:szCs w:val="24"/>
        </w:rPr>
        <w:t>, rather than a citizen participation approach.</w:t>
      </w:r>
      <w:r w:rsidR="006F6FEF">
        <w:rPr>
          <w:rFonts w:ascii="Times New Roman" w:hAnsi="Times New Roman" w:cs="Times New Roman"/>
          <w:sz w:val="24"/>
          <w:szCs w:val="24"/>
        </w:rPr>
        <w:t xml:space="preserve"> In essence, the technocratic approach assumes that budgeting is done by professionals using technical methods to achieve the best allocation of resources given the goals of the government. Public participation is largely relegate</w:t>
      </w:r>
      <w:r w:rsidR="006B63CA">
        <w:rPr>
          <w:rFonts w:ascii="Times New Roman" w:hAnsi="Times New Roman" w:cs="Times New Roman"/>
          <w:sz w:val="24"/>
          <w:szCs w:val="24"/>
        </w:rPr>
        <w:t>d</w:t>
      </w:r>
      <w:r w:rsidR="006F6FEF">
        <w:rPr>
          <w:rFonts w:ascii="Times New Roman" w:hAnsi="Times New Roman" w:cs="Times New Roman"/>
          <w:sz w:val="24"/>
          <w:szCs w:val="24"/>
        </w:rPr>
        <w:t xml:space="preserve"> to being informed about what the professional come up with and reacting to their specific proposals.</w:t>
      </w:r>
    </w:p>
    <w:p w14:paraId="3530DC6D" w14:textId="1F9632B7" w:rsidR="00346ED3" w:rsidRPr="00346ED3" w:rsidRDefault="00346ED3" w:rsidP="006749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priorities [of the </w:t>
      </w:r>
      <w:r>
        <w:rPr>
          <w:rFonts w:ascii="Times New Roman" w:hAnsi="Times New Roman" w:cs="Times New Roman"/>
          <w:i/>
          <w:sz w:val="24"/>
          <w:szCs w:val="24"/>
        </w:rPr>
        <w:t>Budget Policy Statement</w:t>
      </w:r>
      <w:r>
        <w:rPr>
          <w:rFonts w:ascii="Times New Roman" w:hAnsi="Times New Roman" w:cs="Times New Roman"/>
          <w:sz w:val="24"/>
          <w:szCs w:val="24"/>
        </w:rPr>
        <w:t>] represent five areas where initial evidence from the LSF [Living Standards Framework] and other sources show that substantive opportunities exist to make a difference to New Zealanders’ wellbeing. They were refined through a process of consultation with officials, Ministers, sector experts, and Government Science Advisors, and combined with other inputs including the Child Wellbeing Strategy and international evidence” (The Treasury, page 22)</w:t>
      </w:r>
    </w:p>
    <w:p w14:paraId="61E9151A" w14:textId="57345868" w:rsidR="0059370E" w:rsidRDefault="00A06A7E" w:rsidP="006749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 looking at the issue of the future of productive efforts through the lens of the </w:t>
      </w:r>
      <w:r w:rsidR="006F6FEF">
        <w:rPr>
          <w:rFonts w:ascii="Times New Roman" w:hAnsi="Times New Roman" w:cs="Times New Roman"/>
          <w:sz w:val="24"/>
          <w:szCs w:val="24"/>
        </w:rPr>
        <w:t>P</w:t>
      </w:r>
      <w:r>
        <w:rPr>
          <w:rFonts w:ascii="Times New Roman" w:hAnsi="Times New Roman" w:cs="Times New Roman"/>
          <w:sz w:val="24"/>
          <w:szCs w:val="24"/>
        </w:rPr>
        <w:t xml:space="preserve">ara-economic </w:t>
      </w:r>
      <w:r w:rsidR="006F6FEF">
        <w:rPr>
          <w:rFonts w:ascii="Times New Roman" w:hAnsi="Times New Roman" w:cs="Times New Roman"/>
          <w:sz w:val="24"/>
          <w:szCs w:val="24"/>
        </w:rPr>
        <w:t>P</w:t>
      </w:r>
      <w:r>
        <w:rPr>
          <w:rFonts w:ascii="Times New Roman" w:hAnsi="Times New Roman" w:cs="Times New Roman"/>
          <w:sz w:val="24"/>
          <w:szCs w:val="24"/>
        </w:rPr>
        <w:t xml:space="preserve">aradigm, we get </w:t>
      </w:r>
      <w:r w:rsidR="00B262AD">
        <w:rPr>
          <w:rFonts w:ascii="Times New Roman" w:hAnsi="Times New Roman" w:cs="Times New Roman"/>
          <w:sz w:val="24"/>
          <w:szCs w:val="24"/>
        </w:rPr>
        <w:t>five</w:t>
      </w:r>
      <w:r>
        <w:rPr>
          <w:rFonts w:ascii="Times New Roman" w:hAnsi="Times New Roman" w:cs="Times New Roman"/>
          <w:sz w:val="24"/>
          <w:szCs w:val="24"/>
        </w:rPr>
        <w:t xml:space="preserve"> elements of a </w:t>
      </w:r>
      <w:r w:rsidR="00D343CE">
        <w:rPr>
          <w:rFonts w:ascii="Times New Roman" w:hAnsi="Times New Roman" w:cs="Times New Roman"/>
          <w:sz w:val="24"/>
          <w:szCs w:val="24"/>
        </w:rPr>
        <w:t xml:space="preserve">new and </w:t>
      </w:r>
      <w:r>
        <w:rPr>
          <w:rFonts w:ascii="Times New Roman" w:hAnsi="Times New Roman" w:cs="Times New Roman"/>
          <w:sz w:val="24"/>
          <w:szCs w:val="24"/>
        </w:rPr>
        <w:t>potentially viable strategy</w:t>
      </w:r>
      <w:r w:rsidR="00B262AD">
        <w:rPr>
          <w:rFonts w:ascii="Times New Roman" w:hAnsi="Times New Roman" w:cs="Times New Roman"/>
          <w:sz w:val="24"/>
          <w:szCs w:val="24"/>
        </w:rPr>
        <w:t>:</w:t>
      </w:r>
    </w:p>
    <w:p w14:paraId="1E195FA6" w14:textId="4899A8E7" w:rsidR="00A06A7E" w:rsidRDefault="00A06A7E" w:rsidP="00A06A7E">
      <w:pPr>
        <w:pStyle w:val="ListParagraph"/>
        <w:numPr>
          <w:ilvl w:val="0"/>
          <w:numId w:val="8"/>
        </w:numPr>
        <w:jc w:val="both"/>
      </w:pPr>
      <w:r>
        <w:t xml:space="preserve">The possibility of designing a society where productive efforts could occur in many different social enclaves, not only the economy, </w:t>
      </w:r>
      <w:r w:rsidR="009527F9">
        <w:t xml:space="preserve">and </w:t>
      </w:r>
      <w:r>
        <w:t>where those productive efforts can expand the understanding of a society’s wealth;</w:t>
      </w:r>
    </w:p>
    <w:p w14:paraId="49F18AD9" w14:textId="77777777" w:rsidR="00991C8A" w:rsidRDefault="00991C8A" w:rsidP="00991C8A">
      <w:pPr>
        <w:pStyle w:val="ListParagraph"/>
        <w:jc w:val="both"/>
      </w:pPr>
    </w:p>
    <w:p w14:paraId="56D4AB9A" w14:textId="51C8A12C" w:rsidR="00991C8A" w:rsidRDefault="00B262AD" w:rsidP="00991C8A">
      <w:pPr>
        <w:pStyle w:val="ListParagraph"/>
        <w:numPr>
          <w:ilvl w:val="0"/>
          <w:numId w:val="8"/>
        </w:numPr>
        <w:jc w:val="both"/>
      </w:pPr>
      <w:r>
        <w:t>Using measures of wellbeing as guides to the establishment and the nurture of those other social enclaves;</w:t>
      </w:r>
    </w:p>
    <w:p w14:paraId="01207FD4" w14:textId="77777777" w:rsidR="00991C8A" w:rsidRDefault="00991C8A" w:rsidP="00991C8A">
      <w:pPr>
        <w:pStyle w:val="ListParagraph"/>
        <w:jc w:val="both"/>
      </w:pPr>
    </w:p>
    <w:p w14:paraId="4CF540F7" w14:textId="120AB9DF" w:rsidR="00991C8A" w:rsidRDefault="00346ED3" w:rsidP="00991C8A">
      <w:pPr>
        <w:pStyle w:val="ListParagraph"/>
        <w:numPr>
          <w:ilvl w:val="0"/>
          <w:numId w:val="8"/>
        </w:numPr>
        <w:jc w:val="both"/>
      </w:pPr>
      <w:r>
        <w:t xml:space="preserve">A means to provide a non-means tested/work required source of income </w:t>
      </w:r>
      <w:r w:rsidR="00B262AD">
        <w:t xml:space="preserve">(such as UBI) </w:t>
      </w:r>
      <w:r>
        <w:t xml:space="preserve">to people participating in </w:t>
      </w:r>
      <w:r w:rsidR="00B262AD">
        <w:t>productive efforts in social enclaves other than the economy;</w:t>
      </w:r>
    </w:p>
    <w:p w14:paraId="02247DA8" w14:textId="77777777" w:rsidR="00991C8A" w:rsidRDefault="00991C8A" w:rsidP="00991C8A">
      <w:pPr>
        <w:pStyle w:val="ListParagraph"/>
        <w:jc w:val="both"/>
      </w:pPr>
    </w:p>
    <w:p w14:paraId="59A6A5A3" w14:textId="51E43887" w:rsidR="00D343CE" w:rsidRDefault="00D343CE" w:rsidP="00991C8A">
      <w:pPr>
        <w:pStyle w:val="ListParagraph"/>
        <w:numPr>
          <w:ilvl w:val="0"/>
          <w:numId w:val="8"/>
        </w:numPr>
        <w:jc w:val="both"/>
      </w:pPr>
      <w:r>
        <w:t xml:space="preserve">Employing a budget process adapted to incorporating wellbeing as a policy priority </w:t>
      </w:r>
      <w:r w:rsidR="0012277D">
        <w:t>through the use of one-way</w:t>
      </w:r>
      <w:r>
        <w:t xml:space="preserve"> allocation of resources</w:t>
      </w:r>
      <w:r w:rsidR="00BA6F7C">
        <w:t xml:space="preserve"> (7)</w:t>
      </w:r>
      <w:r w:rsidR="00B262AD">
        <w:t xml:space="preserve">; and </w:t>
      </w:r>
    </w:p>
    <w:p w14:paraId="3FEB71C9" w14:textId="77777777" w:rsidR="00991C8A" w:rsidRDefault="00991C8A" w:rsidP="00991C8A">
      <w:pPr>
        <w:pStyle w:val="ListParagraph"/>
        <w:jc w:val="both"/>
      </w:pPr>
    </w:p>
    <w:p w14:paraId="34C78724" w14:textId="7B2D9035" w:rsidR="00145613" w:rsidRDefault="00A072E8" w:rsidP="00A072E8">
      <w:pPr>
        <w:pStyle w:val="ListParagraph"/>
        <w:numPr>
          <w:ilvl w:val="0"/>
          <w:numId w:val="8"/>
        </w:numPr>
        <w:spacing w:after="240"/>
        <w:jc w:val="both"/>
      </w:pPr>
      <w:r>
        <w:t>In addition to “technocratic” budget development, also c</w:t>
      </w:r>
      <w:r w:rsidR="00B262AD">
        <w:t xml:space="preserve">reating robust opportunities for citizens to participate in the design </w:t>
      </w:r>
      <w:r w:rsidR="005463F8">
        <w:t xml:space="preserve">and nurture </w:t>
      </w:r>
      <w:r w:rsidR="00B262AD">
        <w:t xml:space="preserve">of </w:t>
      </w:r>
      <w:r w:rsidR="006F6FEF">
        <w:t xml:space="preserve">the </w:t>
      </w:r>
      <w:r w:rsidR="00B262AD">
        <w:t xml:space="preserve">other social enclaves, the definition of wellbeing </w:t>
      </w:r>
      <w:r w:rsidR="006F6FEF">
        <w:t xml:space="preserve">factors and </w:t>
      </w:r>
      <w:r w:rsidR="005463F8">
        <w:t xml:space="preserve">associated </w:t>
      </w:r>
      <w:r w:rsidR="00B262AD">
        <w:t>performance measures, and the creation of programs to produce the desired wellbeing outcomes.</w:t>
      </w:r>
    </w:p>
    <w:p w14:paraId="08B6C960" w14:textId="6C38DBD0" w:rsidR="00B262AD" w:rsidRPr="00145613" w:rsidRDefault="00B262AD" w:rsidP="00921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now turn to the </w:t>
      </w:r>
      <w:r w:rsidR="00264C10">
        <w:rPr>
          <w:rFonts w:ascii="Times New Roman" w:hAnsi="Times New Roman" w:cs="Times New Roman"/>
          <w:sz w:val="24"/>
          <w:szCs w:val="24"/>
        </w:rPr>
        <w:t xml:space="preserve">fourth and </w:t>
      </w:r>
      <w:r>
        <w:rPr>
          <w:rFonts w:ascii="Times New Roman" w:hAnsi="Times New Roman" w:cs="Times New Roman"/>
          <w:sz w:val="24"/>
          <w:szCs w:val="24"/>
        </w:rPr>
        <w:t>fifth element</w:t>
      </w:r>
      <w:r w:rsidR="00264C10">
        <w:rPr>
          <w:rFonts w:ascii="Times New Roman" w:hAnsi="Times New Roman" w:cs="Times New Roman"/>
          <w:sz w:val="24"/>
          <w:szCs w:val="24"/>
        </w:rPr>
        <w:t>s</w:t>
      </w:r>
      <w:r>
        <w:rPr>
          <w:rFonts w:ascii="Times New Roman" w:hAnsi="Times New Roman" w:cs="Times New Roman"/>
          <w:sz w:val="24"/>
          <w:szCs w:val="24"/>
        </w:rPr>
        <w:t xml:space="preserve"> of this new strategy</w:t>
      </w:r>
      <w:r w:rsidR="00A072E8">
        <w:rPr>
          <w:rFonts w:ascii="Times New Roman" w:hAnsi="Times New Roman" w:cs="Times New Roman"/>
          <w:sz w:val="24"/>
          <w:szCs w:val="24"/>
        </w:rPr>
        <w:t xml:space="preserve">: </w:t>
      </w:r>
      <w:r w:rsidR="00264C10">
        <w:rPr>
          <w:rFonts w:ascii="Times New Roman" w:hAnsi="Times New Roman" w:cs="Times New Roman"/>
          <w:sz w:val="24"/>
          <w:szCs w:val="24"/>
        </w:rPr>
        <w:t>adapt</w:t>
      </w:r>
      <w:r w:rsidR="00070D9F">
        <w:rPr>
          <w:rFonts w:ascii="Times New Roman" w:hAnsi="Times New Roman" w:cs="Times New Roman"/>
          <w:sz w:val="24"/>
          <w:szCs w:val="24"/>
        </w:rPr>
        <w:t>ing</w:t>
      </w:r>
      <w:r w:rsidR="00264C10">
        <w:rPr>
          <w:rFonts w:ascii="Times New Roman" w:hAnsi="Times New Roman" w:cs="Times New Roman"/>
          <w:sz w:val="24"/>
          <w:szCs w:val="24"/>
        </w:rPr>
        <w:t xml:space="preserve"> budget processes and </w:t>
      </w:r>
      <w:r w:rsidR="00070D9F">
        <w:rPr>
          <w:rFonts w:ascii="Times New Roman" w:hAnsi="Times New Roman" w:cs="Times New Roman"/>
          <w:sz w:val="24"/>
          <w:szCs w:val="24"/>
        </w:rPr>
        <w:t xml:space="preserve">creating robust </w:t>
      </w:r>
      <w:r w:rsidR="00A072E8">
        <w:rPr>
          <w:rFonts w:ascii="Times New Roman" w:hAnsi="Times New Roman" w:cs="Times New Roman"/>
          <w:sz w:val="24"/>
          <w:szCs w:val="24"/>
        </w:rPr>
        <w:t xml:space="preserve">citizen participation. I will argue that </w:t>
      </w:r>
      <w:r w:rsidR="005463F8">
        <w:rPr>
          <w:rFonts w:ascii="Times New Roman" w:hAnsi="Times New Roman" w:cs="Times New Roman"/>
          <w:sz w:val="24"/>
          <w:szCs w:val="24"/>
        </w:rPr>
        <w:t xml:space="preserve">full implementation of </w:t>
      </w:r>
      <w:r w:rsidR="0059342B">
        <w:rPr>
          <w:rFonts w:ascii="Times New Roman" w:hAnsi="Times New Roman" w:cs="Times New Roman"/>
          <w:sz w:val="24"/>
          <w:szCs w:val="24"/>
        </w:rPr>
        <w:t>these two strategic elements require</w:t>
      </w:r>
      <w:r w:rsidR="00A072E8">
        <w:rPr>
          <w:rFonts w:ascii="Times New Roman" w:hAnsi="Times New Roman" w:cs="Times New Roman"/>
          <w:sz w:val="24"/>
          <w:szCs w:val="24"/>
        </w:rPr>
        <w:t xml:space="preserve"> two-way transparency, </w:t>
      </w:r>
      <w:r w:rsidR="0059342B">
        <w:rPr>
          <w:rFonts w:ascii="Times New Roman" w:hAnsi="Times New Roman" w:cs="Times New Roman"/>
          <w:sz w:val="24"/>
          <w:szCs w:val="24"/>
        </w:rPr>
        <w:t>meaningful</w:t>
      </w:r>
      <w:r w:rsidR="00A072E8">
        <w:rPr>
          <w:rFonts w:ascii="Times New Roman" w:hAnsi="Times New Roman" w:cs="Times New Roman"/>
          <w:sz w:val="24"/>
          <w:szCs w:val="24"/>
        </w:rPr>
        <w:t xml:space="preserve"> citizen participation and outcome</w:t>
      </w:r>
      <w:r w:rsidR="00577B12">
        <w:rPr>
          <w:rFonts w:ascii="Times New Roman" w:hAnsi="Times New Roman" w:cs="Times New Roman"/>
          <w:sz w:val="24"/>
          <w:szCs w:val="24"/>
        </w:rPr>
        <w:t>-</w:t>
      </w:r>
      <w:r w:rsidR="00A072E8">
        <w:rPr>
          <w:rFonts w:ascii="Times New Roman" w:hAnsi="Times New Roman" w:cs="Times New Roman"/>
          <w:sz w:val="24"/>
          <w:szCs w:val="24"/>
        </w:rPr>
        <w:t>oriented accountability measures</w:t>
      </w:r>
      <w:r w:rsidR="00577B12">
        <w:rPr>
          <w:rFonts w:ascii="Times New Roman" w:hAnsi="Times New Roman" w:cs="Times New Roman"/>
          <w:sz w:val="24"/>
          <w:szCs w:val="24"/>
        </w:rPr>
        <w:t xml:space="preserve"> </w:t>
      </w:r>
      <w:r w:rsidR="006F6FEF">
        <w:rPr>
          <w:rFonts w:ascii="Times New Roman" w:hAnsi="Times New Roman" w:cs="Times New Roman"/>
          <w:sz w:val="24"/>
          <w:szCs w:val="24"/>
        </w:rPr>
        <w:t xml:space="preserve">developed in partnership and collaboration with citizens, and </w:t>
      </w:r>
      <w:r w:rsidR="00577B12">
        <w:rPr>
          <w:rFonts w:ascii="Times New Roman" w:hAnsi="Times New Roman" w:cs="Times New Roman"/>
          <w:sz w:val="24"/>
          <w:szCs w:val="24"/>
        </w:rPr>
        <w:t>reported to the public</w:t>
      </w:r>
      <w:r w:rsidR="00A072E8">
        <w:rPr>
          <w:rFonts w:ascii="Times New Roman" w:hAnsi="Times New Roman" w:cs="Times New Roman"/>
          <w:sz w:val="24"/>
          <w:szCs w:val="24"/>
        </w:rPr>
        <w:t xml:space="preserve">. It is to these matters that we now turn. </w:t>
      </w:r>
    </w:p>
    <w:p w14:paraId="4F17E2E3" w14:textId="77777777" w:rsidR="00265F11" w:rsidRPr="008F725A" w:rsidRDefault="00265F11" w:rsidP="0092183E">
      <w:pPr>
        <w:spacing w:after="0" w:line="240" w:lineRule="auto"/>
        <w:jc w:val="both"/>
        <w:rPr>
          <w:rFonts w:ascii="Times New Roman" w:hAnsi="Times New Roman" w:cs="Times New Roman"/>
          <w:b/>
          <w:sz w:val="20"/>
          <w:szCs w:val="20"/>
          <w:u w:val="single"/>
        </w:rPr>
      </w:pPr>
    </w:p>
    <w:p w14:paraId="236FEAED" w14:textId="77777777" w:rsidR="00191238" w:rsidRDefault="00191238" w:rsidP="0092183E">
      <w:pPr>
        <w:spacing w:after="0" w:line="240" w:lineRule="auto"/>
        <w:jc w:val="both"/>
        <w:rPr>
          <w:rFonts w:ascii="Times New Roman" w:hAnsi="Times New Roman" w:cs="Times New Roman"/>
          <w:b/>
          <w:sz w:val="24"/>
          <w:szCs w:val="24"/>
          <w:u w:val="single"/>
        </w:rPr>
      </w:pPr>
    </w:p>
    <w:p w14:paraId="30D913B0" w14:textId="12CED28B" w:rsidR="00265F11" w:rsidRPr="00984D54" w:rsidRDefault="00265F11" w:rsidP="0092183E">
      <w:pPr>
        <w:spacing w:after="0" w:line="240" w:lineRule="auto"/>
        <w:jc w:val="both"/>
        <w:rPr>
          <w:rFonts w:ascii="Times New Roman" w:hAnsi="Times New Roman" w:cs="Times New Roman"/>
          <w:sz w:val="24"/>
          <w:szCs w:val="24"/>
        </w:rPr>
      </w:pPr>
      <w:r w:rsidRPr="00984D54">
        <w:rPr>
          <w:rFonts w:ascii="Times New Roman" w:hAnsi="Times New Roman" w:cs="Times New Roman"/>
          <w:b/>
          <w:sz w:val="24"/>
          <w:szCs w:val="24"/>
          <w:u w:val="single"/>
        </w:rPr>
        <w:t xml:space="preserve">Wellbeing and </w:t>
      </w:r>
      <w:r w:rsidR="00674931">
        <w:rPr>
          <w:rFonts w:ascii="Times New Roman" w:hAnsi="Times New Roman" w:cs="Times New Roman"/>
          <w:b/>
          <w:sz w:val="24"/>
          <w:szCs w:val="24"/>
          <w:u w:val="single"/>
        </w:rPr>
        <w:t>the Future of Local Government</w:t>
      </w:r>
      <w:r w:rsidRPr="00984D54">
        <w:rPr>
          <w:rFonts w:ascii="Times New Roman" w:hAnsi="Times New Roman" w:cs="Times New Roman"/>
          <w:b/>
          <w:sz w:val="24"/>
          <w:szCs w:val="24"/>
          <w:u w:val="single"/>
        </w:rPr>
        <w:t xml:space="preserve"> Budget Processes</w:t>
      </w:r>
    </w:p>
    <w:p w14:paraId="766D0A11" w14:textId="50281307" w:rsidR="00265F11" w:rsidRDefault="00265F11" w:rsidP="0092183E">
      <w:pPr>
        <w:spacing w:after="0" w:line="240" w:lineRule="auto"/>
        <w:jc w:val="both"/>
        <w:rPr>
          <w:rFonts w:ascii="Times New Roman" w:hAnsi="Times New Roman" w:cs="Times New Roman"/>
          <w:sz w:val="24"/>
          <w:szCs w:val="24"/>
        </w:rPr>
      </w:pPr>
    </w:p>
    <w:p w14:paraId="77FE9964" w14:textId="44F2800A" w:rsidR="004A01F2" w:rsidRDefault="00265F11" w:rsidP="00BF1C8E">
      <w:pPr>
        <w:spacing w:after="0" w:line="240" w:lineRule="auto"/>
        <w:jc w:val="both"/>
        <w:rPr>
          <w:rFonts w:ascii="Times New Roman" w:hAnsi="Times New Roman" w:cs="Times New Roman"/>
          <w:i/>
          <w:sz w:val="20"/>
          <w:szCs w:val="20"/>
        </w:rPr>
      </w:pPr>
      <w:r>
        <w:rPr>
          <w:rFonts w:ascii="Times New Roman" w:hAnsi="Times New Roman" w:cs="Times New Roman"/>
          <w:sz w:val="24"/>
          <w:szCs w:val="24"/>
        </w:rPr>
        <w:lastRenderedPageBreak/>
        <w:t xml:space="preserve">             </w:t>
      </w:r>
      <w:r w:rsidR="004A01F2" w:rsidRPr="008F725A">
        <w:rPr>
          <w:rFonts w:ascii="Times New Roman" w:hAnsi="Times New Roman" w:cs="Times New Roman"/>
          <w:sz w:val="20"/>
          <w:szCs w:val="20"/>
        </w:rPr>
        <w:t>“</w:t>
      </w:r>
      <w:r w:rsidRPr="008F725A">
        <w:rPr>
          <w:rFonts w:ascii="Times New Roman" w:hAnsi="Times New Roman" w:cs="Times New Roman"/>
          <w:i/>
          <w:sz w:val="20"/>
          <w:szCs w:val="20"/>
        </w:rPr>
        <w:t>If you ask 20</w:t>
      </w:r>
      <w:r w:rsidRPr="008F725A">
        <w:rPr>
          <w:rFonts w:ascii="Times New Roman" w:hAnsi="Times New Roman" w:cs="Times New Roman"/>
          <w:i/>
          <w:sz w:val="20"/>
          <w:szCs w:val="20"/>
          <w:vertAlign w:val="superscript"/>
        </w:rPr>
        <w:t>th</w:t>
      </w:r>
      <w:r w:rsidRPr="008F725A">
        <w:rPr>
          <w:rFonts w:ascii="Times New Roman" w:hAnsi="Times New Roman" w:cs="Times New Roman"/>
          <w:i/>
          <w:sz w:val="20"/>
          <w:szCs w:val="20"/>
        </w:rPr>
        <w:t xml:space="preserve"> century City Managers and city staffs what</w:t>
      </w:r>
      <w:r w:rsidR="004A01F2" w:rsidRPr="008F725A">
        <w:rPr>
          <w:rFonts w:ascii="Times New Roman" w:hAnsi="Times New Roman" w:cs="Times New Roman"/>
          <w:i/>
          <w:sz w:val="20"/>
          <w:szCs w:val="20"/>
        </w:rPr>
        <w:t xml:space="preserve"> is their fundamental job, they will probably </w:t>
      </w:r>
    </w:p>
    <w:p w14:paraId="2DE7322F" w14:textId="633259C7" w:rsidR="00BF1C8E" w:rsidRDefault="00CC04CE" w:rsidP="00BF1C8E">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answer it is to</w:t>
      </w:r>
      <w:r w:rsidR="004A01F2" w:rsidRPr="008F725A">
        <w:rPr>
          <w:rFonts w:ascii="Times New Roman" w:hAnsi="Times New Roman" w:cs="Times New Roman"/>
          <w:i/>
          <w:sz w:val="20"/>
          <w:szCs w:val="20"/>
        </w:rPr>
        <w:t xml:space="preserve"> provide local</w:t>
      </w:r>
      <w:r w:rsidR="00BF1C8E">
        <w:rPr>
          <w:rFonts w:ascii="Times New Roman" w:hAnsi="Times New Roman" w:cs="Times New Roman"/>
          <w:i/>
          <w:sz w:val="20"/>
          <w:szCs w:val="20"/>
        </w:rPr>
        <w:t xml:space="preserve"> public</w:t>
      </w:r>
      <w:r w:rsidR="004A01F2" w:rsidRPr="008F725A">
        <w:rPr>
          <w:rFonts w:ascii="Times New Roman" w:hAnsi="Times New Roman" w:cs="Times New Roman"/>
          <w:i/>
          <w:sz w:val="20"/>
          <w:szCs w:val="20"/>
        </w:rPr>
        <w:t xml:space="preserve"> services efficiently and effectively. We certainly know how to do these </w:t>
      </w:r>
    </w:p>
    <w:p w14:paraId="547F88AD" w14:textId="3E072F74" w:rsidR="00AD623E" w:rsidRDefault="00BF1C8E" w:rsidP="00BB13F7">
      <w:pPr>
        <w:spacing w:after="0" w:line="240" w:lineRule="auto"/>
        <w:ind w:left="720"/>
        <w:jc w:val="both"/>
        <w:rPr>
          <w:rFonts w:ascii="Times New Roman" w:hAnsi="Times New Roman" w:cs="Times New Roman"/>
          <w:i/>
          <w:sz w:val="20"/>
          <w:szCs w:val="20"/>
        </w:rPr>
      </w:pPr>
      <w:r>
        <w:rPr>
          <w:rFonts w:ascii="Times New Roman" w:hAnsi="Times New Roman" w:cs="Times New Roman"/>
          <w:i/>
          <w:sz w:val="20"/>
          <w:szCs w:val="20"/>
        </w:rPr>
        <w:t xml:space="preserve"> things. </w:t>
      </w:r>
      <w:r w:rsidR="004F7E5D">
        <w:rPr>
          <w:rFonts w:ascii="Times New Roman" w:hAnsi="Times New Roman" w:cs="Times New Roman"/>
          <w:i/>
          <w:sz w:val="20"/>
          <w:szCs w:val="20"/>
        </w:rPr>
        <w:t xml:space="preserve"> However, if you </w:t>
      </w:r>
      <w:r w:rsidR="009654AD" w:rsidRPr="008F725A">
        <w:rPr>
          <w:rFonts w:ascii="Times New Roman" w:hAnsi="Times New Roman" w:cs="Times New Roman"/>
          <w:i/>
          <w:sz w:val="20"/>
          <w:szCs w:val="20"/>
        </w:rPr>
        <w:t xml:space="preserve">ask </w:t>
      </w:r>
      <w:r w:rsidR="004A01F2" w:rsidRPr="008F725A">
        <w:rPr>
          <w:rFonts w:ascii="Times New Roman" w:hAnsi="Times New Roman" w:cs="Times New Roman"/>
          <w:i/>
          <w:sz w:val="20"/>
          <w:szCs w:val="20"/>
        </w:rPr>
        <w:t>the same question of 21</w:t>
      </w:r>
      <w:r w:rsidR="004A01F2" w:rsidRPr="008F725A">
        <w:rPr>
          <w:rFonts w:ascii="Times New Roman" w:hAnsi="Times New Roman" w:cs="Times New Roman"/>
          <w:i/>
          <w:sz w:val="20"/>
          <w:szCs w:val="20"/>
          <w:vertAlign w:val="superscript"/>
        </w:rPr>
        <w:t>st</w:t>
      </w:r>
      <w:r w:rsidR="004A01F2" w:rsidRPr="008F725A">
        <w:rPr>
          <w:rFonts w:ascii="Times New Roman" w:hAnsi="Times New Roman" w:cs="Times New Roman"/>
          <w:i/>
          <w:sz w:val="20"/>
          <w:szCs w:val="20"/>
        </w:rPr>
        <w:t xml:space="preserve"> century City Managers and city staffs, the answer is starting </w:t>
      </w:r>
      <w:r w:rsidR="004F7E5D">
        <w:rPr>
          <w:rFonts w:ascii="Times New Roman" w:hAnsi="Times New Roman" w:cs="Times New Roman"/>
          <w:i/>
          <w:sz w:val="20"/>
          <w:szCs w:val="20"/>
        </w:rPr>
        <w:t xml:space="preserve">to take the form of </w:t>
      </w:r>
      <w:r w:rsidR="004A01F2" w:rsidRPr="008F725A">
        <w:rPr>
          <w:rFonts w:ascii="Times New Roman" w:hAnsi="Times New Roman" w:cs="Times New Roman"/>
          <w:i/>
          <w:sz w:val="20"/>
          <w:szCs w:val="20"/>
        </w:rPr>
        <w:t xml:space="preserve">another question: for what purpose are city </w:t>
      </w:r>
      <w:r w:rsidR="004F7E5D">
        <w:rPr>
          <w:rFonts w:ascii="Times New Roman" w:hAnsi="Times New Roman" w:cs="Times New Roman"/>
          <w:i/>
          <w:sz w:val="20"/>
          <w:szCs w:val="20"/>
        </w:rPr>
        <w:t xml:space="preserve">services </w:t>
      </w:r>
      <w:r w:rsidR="004A01F2" w:rsidRPr="008F725A">
        <w:rPr>
          <w:rFonts w:ascii="Times New Roman" w:hAnsi="Times New Roman" w:cs="Times New Roman"/>
          <w:i/>
          <w:sz w:val="20"/>
          <w:szCs w:val="20"/>
        </w:rPr>
        <w:t>being provided, and t</w:t>
      </w:r>
      <w:r w:rsidR="00BB13F7">
        <w:rPr>
          <w:rFonts w:ascii="Times New Roman" w:hAnsi="Times New Roman" w:cs="Times New Roman"/>
          <w:i/>
          <w:sz w:val="20"/>
          <w:szCs w:val="20"/>
        </w:rPr>
        <w:t>he</w:t>
      </w:r>
      <w:r w:rsidR="004F7E5D">
        <w:rPr>
          <w:rFonts w:ascii="Times New Roman" w:hAnsi="Times New Roman" w:cs="Times New Roman"/>
          <w:i/>
          <w:sz w:val="20"/>
          <w:szCs w:val="20"/>
        </w:rPr>
        <w:t xml:space="preserve"> </w:t>
      </w:r>
      <w:r w:rsidR="00BB13F7">
        <w:rPr>
          <w:rFonts w:ascii="Times New Roman" w:hAnsi="Times New Roman" w:cs="Times New Roman"/>
          <w:i/>
          <w:sz w:val="20"/>
          <w:szCs w:val="20"/>
        </w:rPr>
        <w:t xml:space="preserve">answer is </w:t>
      </w:r>
      <w:r w:rsidR="004F7E5D">
        <w:rPr>
          <w:rFonts w:ascii="Times New Roman" w:hAnsi="Times New Roman" w:cs="Times New Roman"/>
          <w:i/>
          <w:sz w:val="20"/>
          <w:szCs w:val="20"/>
        </w:rPr>
        <w:t>starting to be for</w:t>
      </w:r>
      <w:r w:rsidR="004A01F2" w:rsidRPr="008F725A">
        <w:rPr>
          <w:rFonts w:ascii="Times New Roman" w:hAnsi="Times New Roman" w:cs="Times New Roman"/>
          <w:i/>
          <w:sz w:val="20"/>
          <w:szCs w:val="20"/>
        </w:rPr>
        <w:t xml:space="preserve"> Wellbeing. This changes almost ever</w:t>
      </w:r>
      <w:r w:rsidR="00E43904" w:rsidRPr="008F725A">
        <w:rPr>
          <w:rFonts w:ascii="Times New Roman" w:hAnsi="Times New Roman" w:cs="Times New Roman"/>
          <w:i/>
          <w:sz w:val="20"/>
          <w:szCs w:val="20"/>
        </w:rPr>
        <w:t>y</w:t>
      </w:r>
      <w:r w:rsidR="004A01F2" w:rsidRPr="008F725A">
        <w:rPr>
          <w:rFonts w:ascii="Times New Roman" w:hAnsi="Times New Roman" w:cs="Times New Roman"/>
          <w:i/>
          <w:sz w:val="20"/>
          <w:szCs w:val="20"/>
        </w:rPr>
        <w:t xml:space="preserve">thing.” </w:t>
      </w:r>
      <w:r w:rsidR="004F7E5D">
        <w:rPr>
          <w:rFonts w:ascii="Times New Roman" w:hAnsi="Times New Roman" w:cs="Times New Roman"/>
          <w:i/>
          <w:sz w:val="20"/>
          <w:szCs w:val="20"/>
        </w:rPr>
        <w:t>(</w:t>
      </w:r>
      <w:r w:rsidR="004A01F2" w:rsidRPr="008F725A">
        <w:rPr>
          <w:rFonts w:ascii="Times New Roman" w:hAnsi="Times New Roman" w:cs="Times New Roman"/>
          <w:i/>
          <w:sz w:val="20"/>
          <w:szCs w:val="20"/>
        </w:rPr>
        <w:t>Rick Cole, City Manager, City of Santa</w:t>
      </w:r>
      <w:r w:rsidR="00BB13F7">
        <w:rPr>
          <w:rFonts w:ascii="Times New Roman" w:hAnsi="Times New Roman" w:cs="Times New Roman"/>
          <w:i/>
          <w:sz w:val="20"/>
          <w:szCs w:val="20"/>
        </w:rPr>
        <w:t xml:space="preserve"> </w:t>
      </w:r>
      <w:r w:rsidR="004F7E5D">
        <w:rPr>
          <w:rFonts w:ascii="Times New Roman" w:hAnsi="Times New Roman" w:cs="Times New Roman"/>
          <w:i/>
          <w:sz w:val="20"/>
          <w:szCs w:val="20"/>
        </w:rPr>
        <w:t xml:space="preserve">Monica in a </w:t>
      </w:r>
      <w:r w:rsidR="004A01F2" w:rsidRPr="008F725A">
        <w:rPr>
          <w:rFonts w:ascii="Times New Roman" w:hAnsi="Times New Roman" w:cs="Times New Roman"/>
          <w:i/>
          <w:sz w:val="20"/>
          <w:szCs w:val="20"/>
        </w:rPr>
        <w:t xml:space="preserve">lecture </w:t>
      </w:r>
      <w:r w:rsidR="0076205D" w:rsidRPr="008F725A">
        <w:rPr>
          <w:rFonts w:ascii="Times New Roman" w:hAnsi="Times New Roman" w:cs="Times New Roman"/>
          <w:i/>
          <w:sz w:val="20"/>
          <w:szCs w:val="20"/>
        </w:rPr>
        <w:t xml:space="preserve">to graduate students in a Public Budgeting </w:t>
      </w:r>
      <w:r w:rsidR="004F7E5D">
        <w:rPr>
          <w:rFonts w:ascii="Times New Roman" w:hAnsi="Times New Roman" w:cs="Times New Roman"/>
          <w:i/>
          <w:sz w:val="20"/>
          <w:szCs w:val="20"/>
        </w:rPr>
        <w:t xml:space="preserve">and </w:t>
      </w:r>
      <w:r w:rsidR="0076205D" w:rsidRPr="008F725A">
        <w:rPr>
          <w:rFonts w:ascii="Times New Roman" w:hAnsi="Times New Roman" w:cs="Times New Roman"/>
          <w:i/>
          <w:sz w:val="20"/>
          <w:szCs w:val="20"/>
        </w:rPr>
        <w:t xml:space="preserve">Finance Class, May 29, 2018, </w:t>
      </w:r>
      <w:r w:rsidR="004F7E5D">
        <w:rPr>
          <w:rFonts w:ascii="Times New Roman" w:hAnsi="Times New Roman" w:cs="Times New Roman"/>
          <w:i/>
          <w:sz w:val="20"/>
          <w:szCs w:val="20"/>
        </w:rPr>
        <w:t>Meye</w:t>
      </w:r>
      <w:r w:rsidR="00BB13F7">
        <w:rPr>
          <w:rFonts w:ascii="Times New Roman" w:hAnsi="Times New Roman" w:cs="Times New Roman"/>
          <w:i/>
          <w:sz w:val="20"/>
          <w:szCs w:val="20"/>
        </w:rPr>
        <w:t>r a</w:t>
      </w:r>
      <w:r w:rsidR="004F7E5D">
        <w:rPr>
          <w:rFonts w:ascii="Times New Roman" w:hAnsi="Times New Roman" w:cs="Times New Roman"/>
          <w:i/>
          <w:sz w:val="20"/>
          <w:szCs w:val="20"/>
        </w:rPr>
        <w:t>nd Renee Luskin School of Public Affairs, Public Policy Department, UCLA)</w:t>
      </w:r>
    </w:p>
    <w:p w14:paraId="228D5323" w14:textId="22BB287B" w:rsidR="003826F2" w:rsidRDefault="003826F2" w:rsidP="00E043DB">
      <w:pPr>
        <w:spacing w:after="0" w:line="240" w:lineRule="auto"/>
        <w:jc w:val="both"/>
        <w:rPr>
          <w:rFonts w:ascii="Times New Roman" w:hAnsi="Times New Roman" w:cs="Times New Roman"/>
          <w:i/>
          <w:sz w:val="20"/>
          <w:szCs w:val="20"/>
        </w:rPr>
      </w:pPr>
    </w:p>
    <w:p w14:paraId="3371DB36" w14:textId="20F3DE3C" w:rsidR="00E63CB0" w:rsidRDefault="008803A5" w:rsidP="00E0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Modern public budgeting in the United States </w:t>
      </w:r>
      <w:r w:rsidR="00D35099">
        <w:rPr>
          <w:rFonts w:ascii="Times New Roman" w:hAnsi="Times New Roman" w:cs="Times New Roman"/>
          <w:sz w:val="24"/>
          <w:szCs w:val="24"/>
        </w:rPr>
        <w:t>originated during the opening years of the 20</w:t>
      </w:r>
      <w:r w:rsidR="00D35099" w:rsidRPr="00D35099">
        <w:rPr>
          <w:rFonts w:ascii="Times New Roman" w:hAnsi="Times New Roman" w:cs="Times New Roman"/>
          <w:sz w:val="24"/>
          <w:szCs w:val="24"/>
          <w:vertAlign w:val="superscript"/>
        </w:rPr>
        <w:t>th</w:t>
      </w:r>
      <w:r w:rsidR="00D35099">
        <w:rPr>
          <w:rFonts w:ascii="Times New Roman" w:hAnsi="Times New Roman" w:cs="Times New Roman"/>
          <w:sz w:val="24"/>
          <w:szCs w:val="24"/>
        </w:rPr>
        <w:t xml:space="preserve"> century in the work of government officials, academic reformers, and staff members of municipal research bureaus (such as the New York Bureau of Municipal Research)</w:t>
      </w:r>
      <w:r w:rsidR="00070D9F">
        <w:rPr>
          <w:rFonts w:ascii="Times New Roman" w:hAnsi="Times New Roman" w:cs="Times New Roman"/>
          <w:sz w:val="24"/>
          <w:szCs w:val="24"/>
        </w:rPr>
        <w:t>,</w:t>
      </w:r>
      <w:r w:rsidR="00D35099">
        <w:rPr>
          <w:rFonts w:ascii="Times New Roman" w:hAnsi="Times New Roman" w:cs="Times New Roman"/>
          <w:sz w:val="24"/>
          <w:szCs w:val="24"/>
        </w:rPr>
        <w:t xml:space="preserve"> and was focused on accounting and reporting of public expenditures</w:t>
      </w:r>
      <w:r w:rsidR="00E3438A">
        <w:rPr>
          <w:rFonts w:ascii="Times New Roman" w:hAnsi="Times New Roman" w:cs="Times New Roman"/>
          <w:sz w:val="24"/>
          <w:szCs w:val="24"/>
        </w:rPr>
        <w:t>, and for the executive to take more responsibility for governmental budgeting</w:t>
      </w:r>
      <w:r w:rsidR="00D35099">
        <w:rPr>
          <w:rFonts w:ascii="Times New Roman" w:hAnsi="Times New Roman" w:cs="Times New Roman"/>
          <w:sz w:val="24"/>
          <w:szCs w:val="24"/>
        </w:rPr>
        <w:t>. (Rubin, 1993) Building on these efforts, the Taft report of 1912 called for the establishment of a</w:t>
      </w:r>
      <w:r w:rsidR="00070D9F">
        <w:rPr>
          <w:rFonts w:ascii="Times New Roman" w:hAnsi="Times New Roman" w:cs="Times New Roman"/>
          <w:sz w:val="24"/>
          <w:szCs w:val="24"/>
        </w:rPr>
        <w:t xml:space="preserve"> Federal</w:t>
      </w:r>
      <w:r w:rsidR="00D35099">
        <w:rPr>
          <w:rFonts w:ascii="Times New Roman" w:hAnsi="Times New Roman" w:cs="Times New Roman"/>
          <w:sz w:val="24"/>
          <w:szCs w:val="24"/>
        </w:rPr>
        <w:t xml:space="preserve"> executive budget process that resulted in the adoption of the </w:t>
      </w:r>
      <w:r w:rsidR="001D6938">
        <w:rPr>
          <w:rFonts w:ascii="Times New Roman" w:hAnsi="Times New Roman" w:cs="Times New Roman"/>
          <w:sz w:val="24"/>
          <w:szCs w:val="24"/>
        </w:rPr>
        <w:t xml:space="preserve">Federal Budget and Accounting Act of 1921. </w:t>
      </w:r>
    </w:p>
    <w:p w14:paraId="6377727D" w14:textId="77777777" w:rsidR="00E63CB0" w:rsidRDefault="00E63CB0" w:rsidP="00E043DB">
      <w:pPr>
        <w:spacing w:after="0" w:line="240" w:lineRule="auto"/>
        <w:jc w:val="both"/>
        <w:rPr>
          <w:rFonts w:ascii="Times New Roman" w:hAnsi="Times New Roman" w:cs="Times New Roman"/>
          <w:sz w:val="24"/>
          <w:szCs w:val="24"/>
        </w:rPr>
      </w:pPr>
    </w:p>
    <w:p w14:paraId="438F4AF7" w14:textId="58351844" w:rsidR="009B3B34" w:rsidRDefault="00E3438A" w:rsidP="00E0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p</w:t>
      </w:r>
      <w:r w:rsidR="001D6938">
        <w:rPr>
          <w:rFonts w:ascii="Times New Roman" w:hAnsi="Times New Roman" w:cs="Times New Roman"/>
          <w:sz w:val="24"/>
          <w:szCs w:val="24"/>
        </w:rPr>
        <w:t xml:space="preserve">aralleling these </w:t>
      </w:r>
      <w:r w:rsidR="0059342B">
        <w:rPr>
          <w:rFonts w:ascii="Times New Roman" w:hAnsi="Times New Roman" w:cs="Times New Roman"/>
          <w:sz w:val="24"/>
          <w:szCs w:val="24"/>
        </w:rPr>
        <w:t xml:space="preserve">initial reform </w:t>
      </w:r>
      <w:r w:rsidR="001D6938">
        <w:rPr>
          <w:rFonts w:ascii="Times New Roman" w:hAnsi="Times New Roman" w:cs="Times New Roman"/>
          <w:sz w:val="24"/>
          <w:szCs w:val="24"/>
        </w:rPr>
        <w:t xml:space="preserve">efforts </w:t>
      </w:r>
      <w:r w:rsidR="00BB13F7">
        <w:rPr>
          <w:rFonts w:ascii="Times New Roman" w:hAnsi="Times New Roman" w:cs="Times New Roman"/>
          <w:sz w:val="24"/>
          <w:szCs w:val="24"/>
        </w:rPr>
        <w:t xml:space="preserve">to install powerful executive led budgeting </w:t>
      </w:r>
      <w:r w:rsidR="001D6938">
        <w:rPr>
          <w:rFonts w:ascii="Times New Roman" w:hAnsi="Times New Roman" w:cs="Times New Roman"/>
          <w:sz w:val="24"/>
          <w:szCs w:val="24"/>
        </w:rPr>
        <w:t xml:space="preserve">was the work of </w:t>
      </w:r>
      <w:r w:rsidR="009B3B34">
        <w:rPr>
          <w:rFonts w:ascii="Times New Roman" w:hAnsi="Times New Roman" w:cs="Times New Roman"/>
          <w:sz w:val="24"/>
          <w:szCs w:val="24"/>
        </w:rPr>
        <w:t>others</w:t>
      </w:r>
      <w:r w:rsidR="001D6938">
        <w:rPr>
          <w:rFonts w:ascii="Times New Roman" w:hAnsi="Times New Roman" w:cs="Times New Roman"/>
          <w:sz w:val="24"/>
          <w:szCs w:val="24"/>
        </w:rPr>
        <w:t xml:space="preserve"> </w:t>
      </w:r>
      <w:r w:rsidR="00070D9F">
        <w:rPr>
          <w:rFonts w:ascii="Times New Roman" w:hAnsi="Times New Roman" w:cs="Times New Roman"/>
          <w:sz w:val="24"/>
          <w:szCs w:val="24"/>
        </w:rPr>
        <w:t>which focused on</w:t>
      </w:r>
      <w:r w:rsidR="001D6938">
        <w:rPr>
          <w:rFonts w:ascii="Times New Roman" w:hAnsi="Times New Roman" w:cs="Times New Roman"/>
          <w:sz w:val="24"/>
          <w:szCs w:val="24"/>
        </w:rPr>
        <w:t xml:space="preserve"> educat</w:t>
      </w:r>
      <w:r w:rsidR="00070D9F">
        <w:rPr>
          <w:rFonts w:ascii="Times New Roman" w:hAnsi="Times New Roman" w:cs="Times New Roman"/>
          <w:sz w:val="24"/>
          <w:szCs w:val="24"/>
        </w:rPr>
        <w:t>ing</w:t>
      </w:r>
      <w:r w:rsidR="001D6938">
        <w:rPr>
          <w:rFonts w:ascii="Times New Roman" w:hAnsi="Times New Roman" w:cs="Times New Roman"/>
          <w:sz w:val="24"/>
          <w:szCs w:val="24"/>
        </w:rPr>
        <w:t xml:space="preserve"> the public so they could hold the executive accountable for budgetary decisions</w:t>
      </w:r>
      <w:r w:rsidR="009B3B34">
        <w:rPr>
          <w:rFonts w:ascii="Times New Roman" w:hAnsi="Times New Roman" w:cs="Times New Roman"/>
          <w:sz w:val="24"/>
          <w:szCs w:val="24"/>
        </w:rPr>
        <w:t xml:space="preserve"> and results</w:t>
      </w:r>
      <w:r w:rsidR="001D6938">
        <w:rPr>
          <w:rFonts w:ascii="Times New Roman" w:hAnsi="Times New Roman" w:cs="Times New Roman"/>
          <w:sz w:val="24"/>
          <w:szCs w:val="24"/>
        </w:rPr>
        <w:t xml:space="preserve">. In fact, they argued that informed public participation was critical to the success of executive budgeting. </w:t>
      </w:r>
      <w:r w:rsidR="009B3B34">
        <w:rPr>
          <w:rFonts w:ascii="Times New Roman" w:hAnsi="Times New Roman" w:cs="Times New Roman"/>
          <w:sz w:val="24"/>
          <w:szCs w:val="24"/>
        </w:rPr>
        <w:t xml:space="preserve">(Myers and Rubin, 2011) </w:t>
      </w:r>
      <w:r w:rsidR="001D6938">
        <w:rPr>
          <w:rFonts w:ascii="Times New Roman" w:hAnsi="Times New Roman" w:cs="Times New Roman"/>
          <w:sz w:val="24"/>
          <w:szCs w:val="24"/>
        </w:rPr>
        <w:t>However, over the ensuing century</w:t>
      </w:r>
      <w:r>
        <w:rPr>
          <w:rFonts w:ascii="Times New Roman" w:hAnsi="Times New Roman" w:cs="Times New Roman"/>
          <w:sz w:val="24"/>
          <w:szCs w:val="24"/>
        </w:rPr>
        <w:t>,</w:t>
      </w:r>
      <w:r w:rsidR="001D6938">
        <w:rPr>
          <w:rFonts w:ascii="Times New Roman" w:hAnsi="Times New Roman" w:cs="Times New Roman"/>
          <w:sz w:val="24"/>
          <w:szCs w:val="24"/>
        </w:rPr>
        <w:t xml:space="preserve"> executive budgeting has become what I </w:t>
      </w:r>
      <w:r w:rsidR="00BB13F7">
        <w:rPr>
          <w:rFonts w:ascii="Times New Roman" w:hAnsi="Times New Roman" w:cs="Times New Roman"/>
          <w:sz w:val="24"/>
          <w:szCs w:val="24"/>
        </w:rPr>
        <w:t xml:space="preserve">have </w:t>
      </w:r>
      <w:r w:rsidR="001D6938">
        <w:rPr>
          <w:rFonts w:ascii="Times New Roman" w:hAnsi="Times New Roman" w:cs="Times New Roman"/>
          <w:sz w:val="24"/>
          <w:szCs w:val="24"/>
        </w:rPr>
        <w:t>call</w:t>
      </w:r>
      <w:r w:rsidR="00BB13F7">
        <w:rPr>
          <w:rFonts w:ascii="Times New Roman" w:hAnsi="Times New Roman" w:cs="Times New Roman"/>
          <w:sz w:val="24"/>
          <w:szCs w:val="24"/>
        </w:rPr>
        <w:t>ed</w:t>
      </w:r>
      <w:r w:rsidR="001D6938">
        <w:rPr>
          <w:rFonts w:ascii="Times New Roman" w:hAnsi="Times New Roman" w:cs="Times New Roman"/>
          <w:sz w:val="24"/>
          <w:szCs w:val="24"/>
        </w:rPr>
        <w:t xml:space="preserve">  “technocratic” based on the idea that </w:t>
      </w:r>
      <w:r w:rsidR="00937512">
        <w:rPr>
          <w:rFonts w:ascii="Times New Roman" w:hAnsi="Times New Roman" w:cs="Times New Roman"/>
          <w:sz w:val="24"/>
          <w:szCs w:val="24"/>
        </w:rPr>
        <w:t xml:space="preserve">cost </w:t>
      </w:r>
      <w:r w:rsidR="001D6938">
        <w:rPr>
          <w:rFonts w:ascii="Times New Roman" w:hAnsi="Times New Roman" w:cs="Times New Roman"/>
          <w:sz w:val="24"/>
          <w:szCs w:val="24"/>
        </w:rPr>
        <w:t xml:space="preserve">efficient and effective service delivery is </w:t>
      </w:r>
      <w:r w:rsidR="00070D9F">
        <w:rPr>
          <w:rFonts w:ascii="Times New Roman" w:hAnsi="Times New Roman" w:cs="Times New Roman"/>
          <w:sz w:val="24"/>
          <w:szCs w:val="24"/>
        </w:rPr>
        <w:t xml:space="preserve">the goal and is </w:t>
      </w:r>
      <w:r w:rsidR="001D6938">
        <w:rPr>
          <w:rFonts w:ascii="Times New Roman" w:hAnsi="Times New Roman" w:cs="Times New Roman"/>
          <w:sz w:val="24"/>
          <w:szCs w:val="24"/>
        </w:rPr>
        <w:t xml:space="preserve">best accomplished </w:t>
      </w:r>
      <w:r w:rsidR="00937512">
        <w:rPr>
          <w:rFonts w:ascii="Times New Roman" w:hAnsi="Times New Roman" w:cs="Times New Roman"/>
          <w:sz w:val="24"/>
          <w:szCs w:val="24"/>
        </w:rPr>
        <w:t xml:space="preserve">by budget professionals employing highly technical analytical tools, and “public input” </w:t>
      </w:r>
      <w:r w:rsidR="00BB13F7">
        <w:rPr>
          <w:rFonts w:ascii="Times New Roman" w:hAnsi="Times New Roman" w:cs="Times New Roman"/>
          <w:sz w:val="24"/>
          <w:szCs w:val="24"/>
        </w:rPr>
        <w:t xml:space="preserve">constitutes </w:t>
      </w:r>
      <w:r w:rsidR="00937512">
        <w:rPr>
          <w:rFonts w:ascii="Times New Roman" w:hAnsi="Times New Roman" w:cs="Times New Roman"/>
          <w:sz w:val="24"/>
          <w:szCs w:val="24"/>
        </w:rPr>
        <w:t xml:space="preserve">seeking responses from the public about what the professionals are proposing. </w:t>
      </w:r>
      <w:r w:rsidR="0059342B">
        <w:rPr>
          <w:rFonts w:ascii="Times New Roman" w:hAnsi="Times New Roman" w:cs="Times New Roman"/>
          <w:sz w:val="24"/>
          <w:szCs w:val="24"/>
        </w:rPr>
        <w:t>As a result,</w:t>
      </w:r>
      <w:r w:rsidR="00937512">
        <w:rPr>
          <w:rFonts w:ascii="Times New Roman" w:hAnsi="Times New Roman" w:cs="Times New Roman"/>
          <w:sz w:val="24"/>
          <w:szCs w:val="24"/>
        </w:rPr>
        <w:t xml:space="preserve"> </w:t>
      </w:r>
      <w:r w:rsidR="00070D9F">
        <w:rPr>
          <w:rFonts w:ascii="Times New Roman" w:hAnsi="Times New Roman" w:cs="Times New Roman"/>
          <w:sz w:val="24"/>
          <w:szCs w:val="24"/>
        </w:rPr>
        <w:t xml:space="preserve">robust </w:t>
      </w:r>
      <w:r w:rsidR="00937512">
        <w:rPr>
          <w:rFonts w:ascii="Times New Roman" w:hAnsi="Times New Roman" w:cs="Times New Roman"/>
          <w:sz w:val="24"/>
          <w:szCs w:val="24"/>
        </w:rPr>
        <w:t>participation of an educated public overseeing the process</w:t>
      </w:r>
      <w:r w:rsidR="0010370D">
        <w:rPr>
          <w:rFonts w:ascii="Times New Roman" w:hAnsi="Times New Roman" w:cs="Times New Roman"/>
          <w:sz w:val="24"/>
          <w:szCs w:val="24"/>
        </w:rPr>
        <w:t>, engaged in the joint creation of programs</w:t>
      </w:r>
      <w:r w:rsidR="00937512">
        <w:rPr>
          <w:rFonts w:ascii="Times New Roman" w:hAnsi="Times New Roman" w:cs="Times New Roman"/>
          <w:sz w:val="24"/>
          <w:szCs w:val="24"/>
        </w:rPr>
        <w:t xml:space="preserve"> and demanding accountability has </w:t>
      </w:r>
      <w:r w:rsidR="007269B0">
        <w:rPr>
          <w:rFonts w:ascii="Times New Roman" w:hAnsi="Times New Roman" w:cs="Times New Roman"/>
          <w:sz w:val="24"/>
          <w:szCs w:val="24"/>
        </w:rPr>
        <w:t>not</w:t>
      </w:r>
      <w:r w:rsidR="003C6659">
        <w:rPr>
          <w:rFonts w:ascii="Times New Roman" w:hAnsi="Times New Roman" w:cs="Times New Roman"/>
          <w:sz w:val="24"/>
          <w:szCs w:val="24"/>
        </w:rPr>
        <w:t xml:space="preserve"> been fully implemented</w:t>
      </w:r>
      <w:r w:rsidR="00937512">
        <w:rPr>
          <w:rFonts w:ascii="Times New Roman" w:hAnsi="Times New Roman" w:cs="Times New Roman"/>
          <w:sz w:val="24"/>
          <w:szCs w:val="24"/>
        </w:rPr>
        <w:t xml:space="preserve">. (Williams, 2003, </w:t>
      </w:r>
      <w:r w:rsidR="007269B0">
        <w:rPr>
          <w:rFonts w:ascii="Times New Roman" w:hAnsi="Times New Roman" w:cs="Times New Roman"/>
          <w:sz w:val="24"/>
          <w:szCs w:val="24"/>
        </w:rPr>
        <w:t xml:space="preserve">Ebdon and Franklin 2006, </w:t>
      </w:r>
      <w:r w:rsidR="00937512">
        <w:rPr>
          <w:rFonts w:ascii="Times New Roman" w:hAnsi="Times New Roman" w:cs="Times New Roman"/>
          <w:sz w:val="24"/>
          <w:szCs w:val="24"/>
        </w:rPr>
        <w:t>and Myers an</w:t>
      </w:r>
      <w:r w:rsidR="007269B0">
        <w:rPr>
          <w:rFonts w:ascii="Times New Roman" w:hAnsi="Times New Roman" w:cs="Times New Roman"/>
          <w:sz w:val="24"/>
          <w:szCs w:val="24"/>
        </w:rPr>
        <w:t>d</w:t>
      </w:r>
      <w:r w:rsidR="00937512">
        <w:rPr>
          <w:rFonts w:ascii="Times New Roman" w:hAnsi="Times New Roman" w:cs="Times New Roman"/>
          <w:sz w:val="24"/>
          <w:szCs w:val="24"/>
        </w:rPr>
        <w:t xml:space="preserve"> Rubin, 2011).</w:t>
      </w:r>
      <w:r w:rsidR="00D76565">
        <w:rPr>
          <w:rFonts w:ascii="Times New Roman" w:hAnsi="Times New Roman" w:cs="Times New Roman"/>
          <w:sz w:val="24"/>
          <w:szCs w:val="24"/>
        </w:rPr>
        <w:t xml:space="preserve"> </w:t>
      </w:r>
      <w:r w:rsidR="00781D50">
        <w:rPr>
          <w:rFonts w:ascii="Times New Roman" w:hAnsi="Times New Roman" w:cs="Times New Roman"/>
          <w:sz w:val="24"/>
          <w:szCs w:val="24"/>
        </w:rPr>
        <w:t>Generally, t</w:t>
      </w:r>
      <w:r w:rsidR="00D76565">
        <w:rPr>
          <w:rFonts w:ascii="Times New Roman" w:hAnsi="Times New Roman" w:cs="Times New Roman"/>
          <w:sz w:val="24"/>
          <w:szCs w:val="24"/>
        </w:rPr>
        <w:t>h</w:t>
      </w:r>
      <w:r w:rsidR="009B3B34">
        <w:rPr>
          <w:rFonts w:ascii="Times New Roman" w:hAnsi="Times New Roman" w:cs="Times New Roman"/>
          <w:sz w:val="24"/>
          <w:szCs w:val="24"/>
        </w:rPr>
        <w:t>is has contributed to</w:t>
      </w:r>
      <w:r w:rsidR="00D76565">
        <w:rPr>
          <w:rFonts w:ascii="Times New Roman" w:hAnsi="Times New Roman" w:cs="Times New Roman"/>
          <w:sz w:val="24"/>
          <w:szCs w:val="24"/>
        </w:rPr>
        <w:t xml:space="preserve"> a decline in public trust and confidence in government</w:t>
      </w:r>
      <w:r w:rsidR="00070D9F">
        <w:rPr>
          <w:rFonts w:ascii="Times New Roman" w:hAnsi="Times New Roman" w:cs="Times New Roman"/>
          <w:sz w:val="24"/>
          <w:szCs w:val="24"/>
        </w:rPr>
        <w:t>,</w:t>
      </w:r>
      <w:r w:rsidR="00D76565">
        <w:rPr>
          <w:rFonts w:ascii="Times New Roman" w:hAnsi="Times New Roman" w:cs="Times New Roman"/>
          <w:sz w:val="24"/>
          <w:szCs w:val="24"/>
        </w:rPr>
        <w:t xml:space="preserve"> and a feeling of powerlessness on behalf of citizens.</w:t>
      </w:r>
    </w:p>
    <w:p w14:paraId="122A40E7" w14:textId="7A08A8D8" w:rsidR="00E3438A" w:rsidRDefault="00E3438A" w:rsidP="00E043DB">
      <w:pPr>
        <w:spacing w:after="0" w:line="240" w:lineRule="auto"/>
        <w:jc w:val="both"/>
        <w:rPr>
          <w:rFonts w:ascii="Times New Roman" w:hAnsi="Times New Roman" w:cs="Times New Roman"/>
          <w:sz w:val="24"/>
          <w:szCs w:val="24"/>
        </w:rPr>
      </w:pPr>
    </w:p>
    <w:p w14:paraId="394258E3" w14:textId="56A77D20" w:rsidR="00E3438A" w:rsidRDefault="00E3438A" w:rsidP="00E0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introduction of the idea that the job of cities and city staffs is to help bring about the wellbeing of its citizens opens the door for reconsideration of the notion of an informed and empowered public actively engaged in the creation of their wellbeing. For this notion to flourish</w:t>
      </w:r>
      <w:r w:rsidR="00A941B6">
        <w:rPr>
          <w:rFonts w:ascii="Times New Roman" w:hAnsi="Times New Roman" w:cs="Times New Roman"/>
          <w:sz w:val="24"/>
          <w:szCs w:val="24"/>
        </w:rPr>
        <w:t>, the nature of local budget process must be expanded beyond technocratic process designs.</w:t>
      </w:r>
    </w:p>
    <w:p w14:paraId="1F44E83D" w14:textId="318E3A9C" w:rsidR="00781D50" w:rsidRDefault="00781D50" w:rsidP="00E043DB">
      <w:pPr>
        <w:spacing w:after="0" w:line="240" w:lineRule="auto"/>
        <w:jc w:val="both"/>
        <w:rPr>
          <w:rFonts w:ascii="Times New Roman" w:hAnsi="Times New Roman" w:cs="Times New Roman"/>
          <w:sz w:val="24"/>
          <w:szCs w:val="24"/>
        </w:rPr>
      </w:pPr>
    </w:p>
    <w:p w14:paraId="6FD51117" w14:textId="5B8506E7" w:rsidR="0081024E" w:rsidRDefault="00781D50" w:rsidP="00E0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Over the last several decades, the City of Santa Monica, California, has been </w:t>
      </w:r>
      <w:r w:rsidR="00A941B6">
        <w:rPr>
          <w:rFonts w:ascii="Times New Roman" w:hAnsi="Times New Roman" w:cs="Times New Roman"/>
          <w:sz w:val="24"/>
          <w:szCs w:val="24"/>
        </w:rPr>
        <w:t xml:space="preserve">somewhat </w:t>
      </w:r>
      <w:r w:rsidR="00871E52">
        <w:rPr>
          <w:rFonts w:ascii="Times New Roman" w:hAnsi="Times New Roman" w:cs="Times New Roman"/>
          <w:sz w:val="24"/>
          <w:szCs w:val="24"/>
        </w:rPr>
        <w:t xml:space="preserve">of </w:t>
      </w:r>
      <w:r w:rsidR="00A941B6">
        <w:rPr>
          <w:rFonts w:ascii="Times New Roman" w:hAnsi="Times New Roman" w:cs="Times New Roman"/>
          <w:sz w:val="24"/>
          <w:szCs w:val="24"/>
        </w:rPr>
        <w:t>a</w:t>
      </w:r>
      <w:r w:rsidR="00871E52">
        <w:rPr>
          <w:rFonts w:ascii="Times New Roman" w:hAnsi="Times New Roman" w:cs="Times New Roman"/>
          <w:sz w:val="24"/>
          <w:szCs w:val="24"/>
        </w:rPr>
        <w:t>n</w:t>
      </w:r>
      <w:r w:rsidR="00A941B6">
        <w:rPr>
          <w:rFonts w:ascii="Times New Roman" w:hAnsi="Times New Roman" w:cs="Times New Roman"/>
          <w:sz w:val="24"/>
          <w:szCs w:val="24"/>
        </w:rPr>
        <w:t xml:space="preserve"> </w:t>
      </w:r>
      <w:r>
        <w:rPr>
          <w:rFonts w:ascii="Times New Roman" w:hAnsi="Times New Roman" w:cs="Times New Roman"/>
          <w:sz w:val="24"/>
          <w:szCs w:val="24"/>
        </w:rPr>
        <w:t xml:space="preserve"> exception</w:t>
      </w:r>
      <w:r w:rsidR="00710543">
        <w:rPr>
          <w:rFonts w:ascii="Times New Roman" w:hAnsi="Times New Roman" w:cs="Times New Roman"/>
          <w:sz w:val="24"/>
          <w:szCs w:val="24"/>
        </w:rPr>
        <w:t xml:space="preserve"> in this regard.</w:t>
      </w:r>
      <w:r w:rsidR="00A941B6">
        <w:rPr>
          <w:rFonts w:ascii="Times New Roman" w:hAnsi="Times New Roman" w:cs="Times New Roman"/>
          <w:sz w:val="24"/>
          <w:szCs w:val="24"/>
        </w:rPr>
        <w:t xml:space="preserve"> </w:t>
      </w:r>
      <w:r>
        <w:rPr>
          <w:rFonts w:ascii="Times New Roman" w:hAnsi="Times New Roman" w:cs="Times New Roman"/>
          <w:sz w:val="24"/>
          <w:szCs w:val="24"/>
        </w:rPr>
        <w:t xml:space="preserve"> Widely recognized as a well-managed and fiscally very prudent, the city has also prided itself on the involvement of its citizens in local government. </w:t>
      </w:r>
      <w:r w:rsidR="00B81701">
        <w:rPr>
          <w:rFonts w:ascii="Times New Roman" w:hAnsi="Times New Roman" w:cs="Times New Roman"/>
          <w:sz w:val="24"/>
          <w:szCs w:val="24"/>
        </w:rPr>
        <w:t>Nevertheless</w:t>
      </w:r>
      <w:r>
        <w:rPr>
          <w:rFonts w:ascii="Times New Roman" w:hAnsi="Times New Roman" w:cs="Times New Roman"/>
          <w:sz w:val="24"/>
          <w:szCs w:val="24"/>
        </w:rPr>
        <w:t xml:space="preserve">, its budget process remains essentially technocratic. </w:t>
      </w:r>
      <w:r w:rsidR="00A941B6">
        <w:rPr>
          <w:rFonts w:ascii="Times New Roman" w:hAnsi="Times New Roman" w:cs="Times New Roman"/>
          <w:sz w:val="24"/>
          <w:szCs w:val="24"/>
        </w:rPr>
        <w:t>Within this context, a</w:t>
      </w:r>
      <w:r w:rsidR="00050DC4">
        <w:rPr>
          <w:rFonts w:ascii="Times New Roman" w:hAnsi="Times New Roman" w:cs="Times New Roman"/>
          <w:sz w:val="24"/>
          <w:szCs w:val="24"/>
        </w:rPr>
        <w:t xml:space="preserve">bout 5 years ago, Santa Monica took on becoming the first city in the world </w:t>
      </w:r>
      <w:r w:rsidR="00E11AA8">
        <w:rPr>
          <w:rFonts w:ascii="Times New Roman" w:hAnsi="Times New Roman" w:cs="Times New Roman"/>
          <w:sz w:val="24"/>
          <w:szCs w:val="24"/>
        </w:rPr>
        <w:t>to create a Wellbeing Project. (</w:t>
      </w:r>
      <w:r w:rsidR="00910933">
        <w:rPr>
          <w:rFonts w:ascii="Times New Roman" w:hAnsi="Times New Roman" w:cs="Times New Roman"/>
          <w:sz w:val="24"/>
          <w:szCs w:val="24"/>
        </w:rPr>
        <w:t>8</w:t>
      </w:r>
      <w:r w:rsidR="00E11AA8">
        <w:rPr>
          <w:rFonts w:ascii="Times New Roman" w:hAnsi="Times New Roman" w:cs="Times New Roman"/>
          <w:sz w:val="24"/>
          <w:szCs w:val="24"/>
        </w:rPr>
        <w:t xml:space="preserve">) Wellbeing dimensions (factors) have been identified and data indicating how the city is performing along those dimensions is being collected and analyzed. The analysis indicates that progress is being made. Surveys of citizens have been incorporated into the process. Last year, the City instituted micro grants to address some quality of life matters through small scale citizen </w:t>
      </w:r>
      <w:r w:rsidR="00A941B6">
        <w:rPr>
          <w:rFonts w:ascii="Times New Roman" w:hAnsi="Times New Roman" w:cs="Times New Roman"/>
          <w:sz w:val="24"/>
          <w:szCs w:val="24"/>
        </w:rPr>
        <w:t xml:space="preserve">designed and </w:t>
      </w:r>
      <w:r w:rsidR="00E11AA8">
        <w:rPr>
          <w:rFonts w:ascii="Times New Roman" w:hAnsi="Times New Roman" w:cs="Times New Roman"/>
          <w:sz w:val="24"/>
          <w:szCs w:val="24"/>
        </w:rPr>
        <w:t xml:space="preserve">implemented programs in one of its neighborhoods. </w:t>
      </w:r>
      <w:r w:rsidR="00B81701">
        <w:rPr>
          <w:rFonts w:ascii="Times New Roman" w:hAnsi="Times New Roman" w:cs="Times New Roman"/>
          <w:sz w:val="24"/>
          <w:szCs w:val="24"/>
        </w:rPr>
        <w:t xml:space="preserve">The use of microgrants in this manner represents an initial step beyond the confines of </w:t>
      </w:r>
      <w:r w:rsidR="00710543">
        <w:rPr>
          <w:rFonts w:ascii="Times New Roman" w:hAnsi="Times New Roman" w:cs="Times New Roman"/>
          <w:sz w:val="24"/>
          <w:szCs w:val="24"/>
        </w:rPr>
        <w:t>a</w:t>
      </w:r>
      <w:r w:rsidR="00B81701">
        <w:rPr>
          <w:rFonts w:ascii="Times New Roman" w:hAnsi="Times New Roman" w:cs="Times New Roman"/>
          <w:sz w:val="24"/>
          <w:szCs w:val="24"/>
        </w:rPr>
        <w:t xml:space="preserve"> technocratic-oriented budget process.</w:t>
      </w:r>
      <w:r w:rsidR="00E11AA8">
        <w:rPr>
          <w:rFonts w:ascii="Times New Roman" w:hAnsi="Times New Roman" w:cs="Times New Roman"/>
          <w:sz w:val="24"/>
          <w:szCs w:val="24"/>
        </w:rPr>
        <w:t xml:space="preserve"> Currently, the city is looking at how to incorporate its wellbeing work </w:t>
      </w:r>
      <w:r w:rsidR="00B81701">
        <w:rPr>
          <w:rFonts w:ascii="Times New Roman" w:hAnsi="Times New Roman" w:cs="Times New Roman"/>
          <w:sz w:val="24"/>
          <w:szCs w:val="24"/>
        </w:rPr>
        <w:t xml:space="preserve">more broadly </w:t>
      </w:r>
      <w:r w:rsidR="00E11AA8">
        <w:rPr>
          <w:rFonts w:ascii="Times New Roman" w:hAnsi="Times New Roman" w:cs="Times New Roman"/>
          <w:sz w:val="24"/>
          <w:szCs w:val="24"/>
        </w:rPr>
        <w:t xml:space="preserve">into </w:t>
      </w:r>
      <w:r w:rsidR="00710543">
        <w:rPr>
          <w:rFonts w:ascii="Times New Roman" w:hAnsi="Times New Roman" w:cs="Times New Roman"/>
          <w:sz w:val="24"/>
          <w:szCs w:val="24"/>
        </w:rPr>
        <w:t>the annual</w:t>
      </w:r>
      <w:r w:rsidR="00E11AA8">
        <w:rPr>
          <w:rFonts w:ascii="Times New Roman" w:hAnsi="Times New Roman" w:cs="Times New Roman"/>
          <w:sz w:val="24"/>
          <w:szCs w:val="24"/>
        </w:rPr>
        <w:t xml:space="preserve"> budget process</w:t>
      </w:r>
      <w:r w:rsidR="00A941B6">
        <w:rPr>
          <w:rFonts w:ascii="Times New Roman" w:hAnsi="Times New Roman" w:cs="Times New Roman"/>
          <w:sz w:val="24"/>
          <w:szCs w:val="24"/>
        </w:rPr>
        <w:t xml:space="preserve">. </w:t>
      </w:r>
      <w:r w:rsidR="00E11AA8">
        <w:rPr>
          <w:rFonts w:ascii="Times New Roman" w:hAnsi="Times New Roman" w:cs="Times New Roman"/>
          <w:sz w:val="24"/>
          <w:szCs w:val="24"/>
        </w:rPr>
        <w:t xml:space="preserve"> </w:t>
      </w:r>
    </w:p>
    <w:p w14:paraId="2B076C52" w14:textId="77777777" w:rsidR="0081024E" w:rsidRDefault="0081024E" w:rsidP="00E043DB">
      <w:pPr>
        <w:spacing w:after="0" w:line="240" w:lineRule="auto"/>
        <w:jc w:val="both"/>
        <w:rPr>
          <w:rFonts w:ascii="Times New Roman" w:hAnsi="Times New Roman" w:cs="Times New Roman"/>
          <w:sz w:val="24"/>
          <w:szCs w:val="24"/>
        </w:rPr>
      </w:pPr>
    </w:p>
    <w:p w14:paraId="7CE9D544" w14:textId="1F79044A" w:rsidR="001B5496" w:rsidRDefault="0081024E" w:rsidP="00E0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Going forward, </w:t>
      </w:r>
      <w:r w:rsidR="00B81701">
        <w:rPr>
          <w:rFonts w:ascii="Times New Roman" w:hAnsi="Times New Roman" w:cs="Times New Roman"/>
          <w:sz w:val="24"/>
          <w:szCs w:val="24"/>
        </w:rPr>
        <w:t xml:space="preserve">the City of Santa Monica as well as other cities </w:t>
      </w:r>
      <w:r w:rsidR="00270339">
        <w:rPr>
          <w:rFonts w:ascii="Times New Roman" w:hAnsi="Times New Roman" w:cs="Times New Roman"/>
          <w:sz w:val="24"/>
          <w:szCs w:val="24"/>
        </w:rPr>
        <w:t>which may be</w:t>
      </w:r>
      <w:r w:rsidR="00B81701">
        <w:rPr>
          <w:rFonts w:ascii="Times New Roman" w:hAnsi="Times New Roman" w:cs="Times New Roman"/>
          <w:sz w:val="24"/>
          <w:szCs w:val="24"/>
        </w:rPr>
        <w:t xml:space="preserve"> focus</w:t>
      </w:r>
      <w:r w:rsidR="00270339">
        <w:rPr>
          <w:rFonts w:ascii="Times New Roman" w:hAnsi="Times New Roman" w:cs="Times New Roman"/>
          <w:sz w:val="24"/>
          <w:szCs w:val="24"/>
        </w:rPr>
        <w:t>ing</w:t>
      </w:r>
      <w:r w:rsidR="00B81701">
        <w:rPr>
          <w:rFonts w:ascii="Times New Roman" w:hAnsi="Times New Roman" w:cs="Times New Roman"/>
          <w:sz w:val="24"/>
          <w:szCs w:val="24"/>
        </w:rPr>
        <w:t xml:space="preserve"> on wellbeing, could gain insight into new </w:t>
      </w:r>
      <w:r w:rsidR="00270339">
        <w:rPr>
          <w:rFonts w:ascii="Times New Roman" w:hAnsi="Times New Roman" w:cs="Times New Roman"/>
          <w:sz w:val="24"/>
          <w:szCs w:val="24"/>
        </w:rPr>
        <w:t>non-technocratically limit</w:t>
      </w:r>
      <w:r w:rsidR="00B91016">
        <w:rPr>
          <w:rFonts w:ascii="Times New Roman" w:hAnsi="Times New Roman" w:cs="Times New Roman"/>
          <w:sz w:val="24"/>
          <w:szCs w:val="24"/>
        </w:rPr>
        <w:t>ed</w:t>
      </w:r>
      <w:r w:rsidR="00270339">
        <w:rPr>
          <w:rFonts w:ascii="Times New Roman" w:hAnsi="Times New Roman" w:cs="Times New Roman"/>
          <w:sz w:val="24"/>
          <w:szCs w:val="24"/>
        </w:rPr>
        <w:t xml:space="preserve"> </w:t>
      </w:r>
      <w:r w:rsidR="00B81701">
        <w:rPr>
          <w:rFonts w:ascii="Times New Roman" w:hAnsi="Times New Roman" w:cs="Times New Roman"/>
          <w:sz w:val="24"/>
          <w:szCs w:val="24"/>
        </w:rPr>
        <w:t>possibilitie</w:t>
      </w:r>
      <w:r w:rsidR="00270339">
        <w:rPr>
          <w:rFonts w:ascii="Times New Roman" w:hAnsi="Times New Roman" w:cs="Times New Roman"/>
          <w:sz w:val="24"/>
          <w:szCs w:val="24"/>
        </w:rPr>
        <w:t>s</w:t>
      </w:r>
      <w:r w:rsidR="00DE0DD8">
        <w:rPr>
          <w:rFonts w:ascii="Times New Roman" w:hAnsi="Times New Roman" w:cs="Times New Roman"/>
          <w:sz w:val="24"/>
          <w:szCs w:val="24"/>
        </w:rPr>
        <w:t xml:space="preserve"> for </w:t>
      </w:r>
      <w:r>
        <w:rPr>
          <w:rFonts w:ascii="Times New Roman" w:hAnsi="Times New Roman" w:cs="Times New Roman"/>
          <w:sz w:val="24"/>
          <w:szCs w:val="24"/>
        </w:rPr>
        <w:t>viewing the city</w:t>
      </w:r>
      <w:r w:rsidR="00DE0DD8">
        <w:rPr>
          <w:rFonts w:ascii="Times New Roman" w:hAnsi="Times New Roman" w:cs="Times New Roman"/>
          <w:sz w:val="24"/>
          <w:szCs w:val="24"/>
        </w:rPr>
        <w:t>,</w:t>
      </w:r>
      <w:r>
        <w:rPr>
          <w:rFonts w:ascii="Times New Roman" w:hAnsi="Times New Roman" w:cs="Times New Roman"/>
          <w:sz w:val="24"/>
          <w:szCs w:val="24"/>
        </w:rPr>
        <w:t xml:space="preserve"> the role of City government</w:t>
      </w:r>
      <w:r w:rsidR="00DE0DD8">
        <w:rPr>
          <w:rFonts w:ascii="Times New Roman" w:hAnsi="Times New Roman" w:cs="Times New Roman"/>
          <w:sz w:val="24"/>
          <w:szCs w:val="24"/>
        </w:rPr>
        <w:t>, and how to better use the budgeting process by looking at these matters through the lens of the Para-economic Paradigm</w:t>
      </w:r>
      <w:r>
        <w:rPr>
          <w:rFonts w:ascii="Times New Roman" w:hAnsi="Times New Roman" w:cs="Times New Roman"/>
          <w:sz w:val="24"/>
          <w:szCs w:val="24"/>
        </w:rPr>
        <w:t xml:space="preserve">. Traditionally, City government’s </w:t>
      </w:r>
      <w:r w:rsidR="00C646B2">
        <w:rPr>
          <w:rFonts w:ascii="Times New Roman" w:hAnsi="Times New Roman" w:cs="Times New Roman"/>
          <w:sz w:val="24"/>
          <w:szCs w:val="24"/>
        </w:rPr>
        <w:t xml:space="preserve">view of the city and </w:t>
      </w:r>
      <w:r w:rsidR="00DE0DD8">
        <w:rPr>
          <w:rFonts w:ascii="Times New Roman" w:hAnsi="Times New Roman" w:cs="Times New Roman"/>
          <w:sz w:val="24"/>
          <w:szCs w:val="24"/>
        </w:rPr>
        <w:t xml:space="preserve">its </w:t>
      </w:r>
      <w:r>
        <w:rPr>
          <w:rFonts w:ascii="Times New Roman" w:hAnsi="Times New Roman" w:cs="Times New Roman"/>
          <w:sz w:val="24"/>
          <w:szCs w:val="24"/>
        </w:rPr>
        <w:t xml:space="preserve">role has been to generate sufficient revenues from the local economy </w:t>
      </w:r>
      <w:r w:rsidR="00C646B2">
        <w:rPr>
          <w:rFonts w:ascii="Times New Roman" w:hAnsi="Times New Roman" w:cs="Times New Roman"/>
          <w:sz w:val="24"/>
          <w:szCs w:val="24"/>
        </w:rPr>
        <w:t xml:space="preserve">and other sources </w:t>
      </w:r>
      <w:r>
        <w:rPr>
          <w:rFonts w:ascii="Times New Roman" w:hAnsi="Times New Roman" w:cs="Times New Roman"/>
          <w:sz w:val="24"/>
          <w:szCs w:val="24"/>
        </w:rPr>
        <w:t xml:space="preserve">to provide an appropriate mix of public </w:t>
      </w:r>
      <w:r w:rsidR="00710543">
        <w:rPr>
          <w:rFonts w:ascii="Times New Roman" w:hAnsi="Times New Roman" w:cs="Times New Roman"/>
          <w:sz w:val="24"/>
          <w:szCs w:val="24"/>
        </w:rPr>
        <w:t xml:space="preserve">goods and </w:t>
      </w:r>
      <w:r>
        <w:rPr>
          <w:rFonts w:ascii="Times New Roman" w:hAnsi="Times New Roman" w:cs="Times New Roman"/>
          <w:sz w:val="24"/>
          <w:szCs w:val="24"/>
        </w:rPr>
        <w:t>services</w:t>
      </w:r>
      <w:r w:rsidR="00C646B2">
        <w:rPr>
          <w:rFonts w:ascii="Times New Roman" w:hAnsi="Times New Roman" w:cs="Times New Roman"/>
          <w:sz w:val="24"/>
          <w:szCs w:val="24"/>
        </w:rPr>
        <w:t xml:space="preserve"> which support the well-functioning of the city as a </w:t>
      </w:r>
      <w:r w:rsidR="00DE0DD8">
        <w:rPr>
          <w:rFonts w:ascii="Times New Roman" w:hAnsi="Times New Roman" w:cs="Times New Roman"/>
          <w:sz w:val="24"/>
          <w:szCs w:val="24"/>
        </w:rPr>
        <w:t xml:space="preserve">place to </w:t>
      </w:r>
      <w:r w:rsidR="00C646B2">
        <w:rPr>
          <w:rFonts w:ascii="Times New Roman" w:hAnsi="Times New Roman" w:cs="Times New Roman"/>
          <w:sz w:val="24"/>
          <w:szCs w:val="24"/>
        </w:rPr>
        <w:t>liv</w:t>
      </w:r>
      <w:r w:rsidR="00DE0DD8">
        <w:rPr>
          <w:rFonts w:ascii="Times New Roman" w:hAnsi="Times New Roman" w:cs="Times New Roman"/>
          <w:sz w:val="24"/>
          <w:szCs w:val="24"/>
        </w:rPr>
        <w:t>e</w:t>
      </w:r>
      <w:r w:rsidR="00C646B2">
        <w:rPr>
          <w:rFonts w:ascii="Times New Roman" w:hAnsi="Times New Roman" w:cs="Times New Roman"/>
          <w:sz w:val="24"/>
          <w:szCs w:val="24"/>
        </w:rPr>
        <w:t xml:space="preserve"> and work. </w:t>
      </w:r>
      <w:r w:rsidR="00270339">
        <w:rPr>
          <w:rFonts w:ascii="Times New Roman" w:hAnsi="Times New Roman" w:cs="Times New Roman"/>
          <w:sz w:val="24"/>
          <w:szCs w:val="24"/>
        </w:rPr>
        <w:t xml:space="preserve">Consistent with these views, the local budget process has become the means for allocating those revenue resources to produce an </w:t>
      </w:r>
      <w:r w:rsidR="00A94C96">
        <w:rPr>
          <w:rFonts w:ascii="Times New Roman" w:hAnsi="Times New Roman" w:cs="Times New Roman"/>
          <w:sz w:val="24"/>
          <w:szCs w:val="24"/>
        </w:rPr>
        <w:t>appropriate mix of publicly delivered goods and services. Using the lens of the Para-economic Paradigm, t</w:t>
      </w:r>
      <w:r w:rsidR="00C646B2">
        <w:rPr>
          <w:rFonts w:ascii="Times New Roman" w:hAnsi="Times New Roman" w:cs="Times New Roman"/>
          <w:sz w:val="24"/>
          <w:szCs w:val="24"/>
        </w:rPr>
        <w:t>h</w:t>
      </w:r>
      <w:r w:rsidR="00A94C96">
        <w:rPr>
          <w:rFonts w:ascii="Times New Roman" w:hAnsi="Times New Roman" w:cs="Times New Roman"/>
          <w:sz w:val="24"/>
          <w:szCs w:val="24"/>
        </w:rPr>
        <w:t>e</w:t>
      </w:r>
      <w:r w:rsidR="00C646B2">
        <w:rPr>
          <w:rFonts w:ascii="Times New Roman" w:hAnsi="Times New Roman" w:cs="Times New Roman"/>
          <w:sz w:val="24"/>
          <w:szCs w:val="24"/>
        </w:rPr>
        <w:t xml:space="preserve"> role </w:t>
      </w:r>
      <w:r w:rsidR="00A94C96">
        <w:rPr>
          <w:rFonts w:ascii="Times New Roman" w:hAnsi="Times New Roman" w:cs="Times New Roman"/>
          <w:sz w:val="24"/>
          <w:szCs w:val="24"/>
        </w:rPr>
        <w:t xml:space="preserve">of City government </w:t>
      </w:r>
      <w:r w:rsidR="00C646B2">
        <w:rPr>
          <w:rFonts w:ascii="Times New Roman" w:hAnsi="Times New Roman" w:cs="Times New Roman"/>
          <w:sz w:val="24"/>
          <w:szCs w:val="24"/>
        </w:rPr>
        <w:t xml:space="preserve">could </w:t>
      </w:r>
      <w:r w:rsidR="00A94C96">
        <w:rPr>
          <w:rFonts w:ascii="Times New Roman" w:hAnsi="Times New Roman" w:cs="Times New Roman"/>
          <w:sz w:val="24"/>
          <w:szCs w:val="24"/>
        </w:rPr>
        <w:t>be substantially expanded.</w:t>
      </w:r>
      <w:r w:rsidR="00C646B2">
        <w:rPr>
          <w:rFonts w:ascii="Times New Roman" w:hAnsi="Times New Roman" w:cs="Times New Roman"/>
          <w:sz w:val="24"/>
          <w:szCs w:val="24"/>
        </w:rPr>
        <w:t xml:space="preserve"> City government </w:t>
      </w:r>
      <w:r w:rsidR="00A94C96">
        <w:rPr>
          <w:rFonts w:ascii="Times New Roman" w:hAnsi="Times New Roman" w:cs="Times New Roman"/>
          <w:sz w:val="24"/>
          <w:szCs w:val="24"/>
        </w:rPr>
        <w:t>could become</w:t>
      </w:r>
      <w:r w:rsidR="00C646B2">
        <w:rPr>
          <w:rFonts w:ascii="Times New Roman" w:hAnsi="Times New Roman" w:cs="Times New Roman"/>
          <w:sz w:val="24"/>
          <w:szCs w:val="24"/>
        </w:rPr>
        <w:t xml:space="preserve"> the </w:t>
      </w:r>
      <w:r w:rsidR="00A94C96">
        <w:rPr>
          <w:rFonts w:ascii="Times New Roman" w:hAnsi="Times New Roman" w:cs="Times New Roman"/>
          <w:sz w:val="24"/>
          <w:szCs w:val="24"/>
        </w:rPr>
        <w:t>primary catalyst through its budget p</w:t>
      </w:r>
      <w:r w:rsidR="00710543">
        <w:rPr>
          <w:rFonts w:ascii="Times New Roman" w:hAnsi="Times New Roman" w:cs="Times New Roman"/>
          <w:sz w:val="24"/>
          <w:szCs w:val="24"/>
        </w:rPr>
        <w:t>r</w:t>
      </w:r>
      <w:r w:rsidR="00A94C96">
        <w:rPr>
          <w:rFonts w:ascii="Times New Roman" w:hAnsi="Times New Roman" w:cs="Times New Roman"/>
          <w:sz w:val="24"/>
          <w:szCs w:val="24"/>
        </w:rPr>
        <w:t>ocess</w:t>
      </w:r>
      <w:r w:rsidR="00C646B2">
        <w:rPr>
          <w:rFonts w:ascii="Times New Roman" w:hAnsi="Times New Roman" w:cs="Times New Roman"/>
          <w:sz w:val="24"/>
          <w:szCs w:val="24"/>
        </w:rPr>
        <w:t xml:space="preserve"> for the </w:t>
      </w:r>
      <w:r w:rsidR="005D5C44">
        <w:rPr>
          <w:rFonts w:ascii="Times New Roman" w:hAnsi="Times New Roman" w:cs="Times New Roman"/>
          <w:sz w:val="24"/>
          <w:szCs w:val="24"/>
        </w:rPr>
        <w:t xml:space="preserve">nurturing of existing and the </w:t>
      </w:r>
      <w:r w:rsidR="00C646B2">
        <w:rPr>
          <w:rFonts w:ascii="Times New Roman" w:hAnsi="Times New Roman" w:cs="Times New Roman"/>
          <w:sz w:val="24"/>
          <w:szCs w:val="24"/>
        </w:rPr>
        <w:t>creation</w:t>
      </w:r>
      <w:r w:rsidR="00DE0DD8">
        <w:rPr>
          <w:rFonts w:ascii="Times New Roman" w:hAnsi="Times New Roman" w:cs="Times New Roman"/>
          <w:sz w:val="24"/>
          <w:szCs w:val="24"/>
        </w:rPr>
        <w:t xml:space="preserve"> </w:t>
      </w:r>
      <w:r w:rsidR="00C646B2">
        <w:rPr>
          <w:rFonts w:ascii="Times New Roman" w:hAnsi="Times New Roman" w:cs="Times New Roman"/>
          <w:sz w:val="24"/>
          <w:szCs w:val="24"/>
        </w:rPr>
        <w:t>of new productive efforts by individual citizens and all manner of citizen led groups</w:t>
      </w:r>
      <w:r w:rsidR="00DE0DD8">
        <w:rPr>
          <w:rFonts w:ascii="Times New Roman" w:hAnsi="Times New Roman" w:cs="Times New Roman"/>
          <w:sz w:val="24"/>
          <w:szCs w:val="24"/>
        </w:rPr>
        <w:t xml:space="preserve"> </w:t>
      </w:r>
      <w:r w:rsidR="00C646B2">
        <w:rPr>
          <w:rFonts w:ascii="Times New Roman" w:hAnsi="Times New Roman" w:cs="Times New Roman"/>
          <w:sz w:val="24"/>
          <w:szCs w:val="24"/>
        </w:rPr>
        <w:t xml:space="preserve">specifically focused on enhancing collective wellbeing </w:t>
      </w:r>
      <w:r w:rsidR="005D5C44">
        <w:rPr>
          <w:rFonts w:ascii="Times New Roman" w:hAnsi="Times New Roman" w:cs="Times New Roman"/>
          <w:sz w:val="24"/>
          <w:szCs w:val="24"/>
        </w:rPr>
        <w:t>in isonomic and phenonomic-like settings</w:t>
      </w:r>
      <w:r w:rsidR="00A94C96">
        <w:rPr>
          <w:rFonts w:ascii="Times New Roman" w:hAnsi="Times New Roman" w:cs="Times New Roman"/>
          <w:sz w:val="24"/>
          <w:szCs w:val="24"/>
        </w:rPr>
        <w:t xml:space="preserve"> throughout the city</w:t>
      </w:r>
      <w:r w:rsidR="00036CD6">
        <w:rPr>
          <w:rFonts w:ascii="Times New Roman" w:hAnsi="Times New Roman" w:cs="Times New Roman"/>
          <w:sz w:val="24"/>
          <w:szCs w:val="24"/>
        </w:rPr>
        <w:t xml:space="preserve"> as well as City operated programs</w:t>
      </w:r>
      <w:r w:rsidR="00B91016">
        <w:rPr>
          <w:rFonts w:ascii="Times New Roman" w:hAnsi="Times New Roman" w:cs="Times New Roman"/>
          <w:sz w:val="24"/>
          <w:szCs w:val="24"/>
        </w:rPr>
        <w:t>, delivered directly and/or through coproduction arrangements.</w:t>
      </w:r>
    </w:p>
    <w:p w14:paraId="043C26F7" w14:textId="77777777" w:rsidR="001B5496" w:rsidRDefault="001B5496" w:rsidP="00E043DB">
      <w:pPr>
        <w:spacing w:after="0" w:line="240" w:lineRule="auto"/>
        <w:jc w:val="both"/>
        <w:rPr>
          <w:rFonts w:ascii="Times New Roman" w:hAnsi="Times New Roman" w:cs="Times New Roman"/>
          <w:sz w:val="24"/>
          <w:szCs w:val="24"/>
        </w:rPr>
      </w:pPr>
    </w:p>
    <w:p w14:paraId="010CAF99" w14:textId="2701B80B" w:rsidR="003826F2" w:rsidRDefault="001B5496" w:rsidP="00E0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A94C96">
        <w:rPr>
          <w:rFonts w:ascii="Times New Roman" w:hAnsi="Times New Roman" w:cs="Times New Roman"/>
          <w:sz w:val="24"/>
          <w:szCs w:val="24"/>
        </w:rPr>
        <w:t xml:space="preserve">take on </w:t>
      </w:r>
      <w:r>
        <w:rPr>
          <w:rFonts w:ascii="Times New Roman" w:hAnsi="Times New Roman" w:cs="Times New Roman"/>
          <w:sz w:val="24"/>
          <w:szCs w:val="24"/>
        </w:rPr>
        <w:t>this expanded role</w:t>
      </w:r>
      <w:r w:rsidR="00A94C96">
        <w:rPr>
          <w:rFonts w:ascii="Times New Roman" w:hAnsi="Times New Roman" w:cs="Times New Roman"/>
          <w:sz w:val="24"/>
          <w:szCs w:val="24"/>
        </w:rPr>
        <w:t>,</w:t>
      </w:r>
      <w:r>
        <w:rPr>
          <w:rFonts w:ascii="Times New Roman" w:hAnsi="Times New Roman" w:cs="Times New Roman"/>
          <w:sz w:val="24"/>
          <w:szCs w:val="24"/>
        </w:rPr>
        <w:t xml:space="preserve"> City government </w:t>
      </w:r>
      <w:r w:rsidR="00A94C96">
        <w:rPr>
          <w:rFonts w:ascii="Times New Roman" w:hAnsi="Times New Roman" w:cs="Times New Roman"/>
          <w:sz w:val="24"/>
          <w:szCs w:val="24"/>
        </w:rPr>
        <w:t xml:space="preserve">would have to </w:t>
      </w:r>
      <w:r w:rsidR="00F83F00">
        <w:rPr>
          <w:rFonts w:ascii="Times New Roman" w:hAnsi="Times New Roman" w:cs="Times New Roman"/>
          <w:sz w:val="24"/>
          <w:szCs w:val="24"/>
        </w:rPr>
        <w:t>adopt</w:t>
      </w:r>
      <w:r w:rsidR="002B1D1A">
        <w:rPr>
          <w:rFonts w:ascii="Times New Roman" w:hAnsi="Times New Roman" w:cs="Times New Roman"/>
          <w:sz w:val="24"/>
          <w:szCs w:val="24"/>
        </w:rPr>
        <w:t xml:space="preserve"> </w:t>
      </w:r>
      <w:r w:rsidR="00FA5F0C">
        <w:rPr>
          <w:rFonts w:ascii="Times New Roman" w:hAnsi="Times New Roman" w:cs="Times New Roman"/>
          <w:sz w:val="24"/>
          <w:szCs w:val="24"/>
        </w:rPr>
        <w:t>a three-pronged strategy</w:t>
      </w:r>
      <w:r w:rsidR="002B1D1A">
        <w:rPr>
          <w:rFonts w:ascii="Times New Roman" w:hAnsi="Times New Roman" w:cs="Times New Roman"/>
          <w:sz w:val="24"/>
          <w:szCs w:val="24"/>
        </w:rPr>
        <w:t xml:space="preserve"> </w:t>
      </w:r>
      <w:r w:rsidR="00666629">
        <w:rPr>
          <w:rFonts w:ascii="Times New Roman" w:hAnsi="Times New Roman" w:cs="Times New Roman"/>
          <w:sz w:val="24"/>
          <w:szCs w:val="24"/>
        </w:rPr>
        <w:t>to fundamentally alter city staff’s</w:t>
      </w:r>
      <w:r w:rsidR="00A94C96">
        <w:rPr>
          <w:rFonts w:ascii="Times New Roman" w:hAnsi="Times New Roman" w:cs="Times New Roman"/>
          <w:sz w:val="24"/>
          <w:szCs w:val="24"/>
        </w:rPr>
        <w:t xml:space="preserve"> relationship with its citizens</w:t>
      </w:r>
      <w:r w:rsidR="00666629">
        <w:rPr>
          <w:rFonts w:ascii="Times New Roman" w:hAnsi="Times New Roman" w:cs="Times New Roman"/>
          <w:sz w:val="24"/>
          <w:szCs w:val="24"/>
        </w:rPr>
        <w:t>.</w:t>
      </w:r>
      <w:r w:rsidR="00F83F00">
        <w:rPr>
          <w:rFonts w:ascii="Times New Roman" w:hAnsi="Times New Roman" w:cs="Times New Roman"/>
          <w:sz w:val="24"/>
          <w:szCs w:val="24"/>
        </w:rPr>
        <w:t xml:space="preserve"> </w:t>
      </w:r>
      <w:r w:rsidR="00666629">
        <w:rPr>
          <w:rFonts w:ascii="Times New Roman" w:hAnsi="Times New Roman" w:cs="Times New Roman"/>
          <w:sz w:val="24"/>
          <w:szCs w:val="24"/>
        </w:rPr>
        <w:t>This strategy would entail:</w:t>
      </w:r>
      <w:r w:rsidR="00FA5F0C">
        <w:rPr>
          <w:rFonts w:ascii="Times New Roman" w:hAnsi="Times New Roman" w:cs="Times New Roman"/>
          <w:sz w:val="24"/>
          <w:szCs w:val="24"/>
        </w:rPr>
        <w:t xml:space="preserve"> implementing a new citizen-administrator relationship, establishing</w:t>
      </w:r>
      <w:r>
        <w:rPr>
          <w:rFonts w:ascii="Times New Roman" w:hAnsi="Times New Roman" w:cs="Times New Roman"/>
          <w:sz w:val="24"/>
          <w:szCs w:val="24"/>
        </w:rPr>
        <w:t xml:space="preserve"> </w:t>
      </w:r>
      <w:r w:rsidR="00FA5F0C">
        <w:rPr>
          <w:rFonts w:ascii="Times New Roman" w:hAnsi="Times New Roman" w:cs="Times New Roman"/>
          <w:sz w:val="24"/>
          <w:szCs w:val="24"/>
        </w:rPr>
        <w:t>two-way transparency between citizens</w:t>
      </w:r>
      <w:r w:rsidR="00710543">
        <w:rPr>
          <w:rFonts w:ascii="Times New Roman" w:hAnsi="Times New Roman" w:cs="Times New Roman"/>
          <w:sz w:val="24"/>
          <w:szCs w:val="24"/>
        </w:rPr>
        <w:t xml:space="preserve"> and administrators</w:t>
      </w:r>
      <w:r w:rsidR="00FA5F0C">
        <w:rPr>
          <w:rFonts w:ascii="Times New Roman" w:hAnsi="Times New Roman" w:cs="Times New Roman"/>
          <w:sz w:val="24"/>
          <w:szCs w:val="24"/>
        </w:rPr>
        <w:t>, and employing outcome-oriented performance measure</w:t>
      </w:r>
      <w:r w:rsidR="009B3B34">
        <w:rPr>
          <w:rFonts w:ascii="Times New Roman" w:hAnsi="Times New Roman" w:cs="Times New Roman"/>
          <w:sz w:val="24"/>
          <w:szCs w:val="24"/>
        </w:rPr>
        <w:t>ment and management</w:t>
      </w:r>
      <w:r w:rsidR="00FA5F0C">
        <w:rPr>
          <w:rFonts w:ascii="Times New Roman" w:hAnsi="Times New Roman" w:cs="Times New Roman"/>
          <w:sz w:val="24"/>
          <w:szCs w:val="24"/>
        </w:rPr>
        <w:t xml:space="preserve"> systems</w:t>
      </w:r>
      <w:r w:rsidR="006167C1">
        <w:rPr>
          <w:rFonts w:ascii="Times New Roman" w:hAnsi="Times New Roman" w:cs="Times New Roman"/>
          <w:sz w:val="24"/>
          <w:szCs w:val="24"/>
        </w:rPr>
        <w:t>.</w:t>
      </w:r>
    </w:p>
    <w:p w14:paraId="583D8979" w14:textId="4BCFDE9E" w:rsidR="006167C1" w:rsidRDefault="006167C1" w:rsidP="00E043DB">
      <w:pPr>
        <w:spacing w:after="0" w:line="240" w:lineRule="auto"/>
        <w:jc w:val="both"/>
        <w:rPr>
          <w:rFonts w:ascii="Times New Roman" w:hAnsi="Times New Roman" w:cs="Times New Roman"/>
          <w:sz w:val="24"/>
          <w:szCs w:val="24"/>
        </w:rPr>
      </w:pPr>
    </w:p>
    <w:p w14:paraId="67FFB1ED" w14:textId="77777777" w:rsidR="00871E52" w:rsidRDefault="00871E52" w:rsidP="00E043DB">
      <w:pPr>
        <w:spacing w:after="0" w:line="240" w:lineRule="auto"/>
        <w:jc w:val="both"/>
        <w:rPr>
          <w:rFonts w:ascii="Times New Roman" w:hAnsi="Times New Roman" w:cs="Times New Roman"/>
          <w:sz w:val="24"/>
          <w:szCs w:val="24"/>
          <w:u w:val="single"/>
        </w:rPr>
      </w:pPr>
    </w:p>
    <w:p w14:paraId="009C3050" w14:textId="4A70E4A0" w:rsidR="006167C1" w:rsidRPr="006167C1" w:rsidRDefault="006167C1" w:rsidP="00E043D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New Citizen-Administrator Relationship</w:t>
      </w:r>
    </w:p>
    <w:p w14:paraId="2D6AC0DD" w14:textId="73759907" w:rsidR="00937512" w:rsidRDefault="00937512" w:rsidP="00E043DB">
      <w:pPr>
        <w:spacing w:after="0" w:line="240" w:lineRule="auto"/>
        <w:jc w:val="both"/>
        <w:rPr>
          <w:rFonts w:ascii="Times New Roman" w:hAnsi="Times New Roman" w:cs="Times New Roman"/>
          <w:sz w:val="24"/>
          <w:szCs w:val="24"/>
        </w:rPr>
      </w:pPr>
    </w:p>
    <w:p w14:paraId="41D77999" w14:textId="5C249EEA" w:rsidR="00FA5F0C" w:rsidRDefault="0059342B" w:rsidP="00E0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67C1">
        <w:rPr>
          <w:rFonts w:ascii="Times New Roman" w:hAnsi="Times New Roman" w:cs="Times New Roman"/>
          <w:sz w:val="24"/>
          <w:szCs w:val="24"/>
        </w:rPr>
        <w:t>W</w:t>
      </w:r>
      <w:r>
        <w:rPr>
          <w:rFonts w:ascii="Times New Roman" w:hAnsi="Times New Roman" w:cs="Times New Roman"/>
          <w:sz w:val="24"/>
          <w:szCs w:val="24"/>
        </w:rPr>
        <w:t xml:space="preserve">hen </w:t>
      </w:r>
      <w:r w:rsidR="006167C1">
        <w:rPr>
          <w:rFonts w:ascii="Times New Roman" w:hAnsi="Times New Roman" w:cs="Times New Roman"/>
          <w:sz w:val="24"/>
          <w:szCs w:val="24"/>
        </w:rPr>
        <w:t xml:space="preserve">administrators </w:t>
      </w:r>
      <w:r w:rsidR="00871E52">
        <w:rPr>
          <w:rFonts w:ascii="Times New Roman" w:hAnsi="Times New Roman" w:cs="Times New Roman"/>
          <w:sz w:val="24"/>
          <w:szCs w:val="24"/>
        </w:rPr>
        <w:t>take on the challenge of</w:t>
      </w:r>
      <w:r w:rsidR="00937512">
        <w:rPr>
          <w:rFonts w:ascii="Times New Roman" w:hAnsi="Times New Roman" w:cs="Times New Roman"/>
          <w:sz w:val="24"/>
          <w:szCs w:val="24"/>
        </w:rPr>
        <w:t xml:space="preserve">  crea</w:t>
      </w:r>
      <w:r w:rsidR="00871E52">
        <w:rPr>
          <w:rFonts w:ascii="Times New Roman" w:hAnsi="Times New Roman" w:cs="Times New Roman"/>
          <w:sz w:val="24"/>
          <w:szCs w:val="24"/>
        </w:rPr>
        <w:t>ting</w:t>
      </w:r>
      <w:r w:rsidR="00937512">
        <w:rPr>
          <w:rFonts w:ascii="Times New Roman" w:hAnsi="Times New Roman" w:cs="Times New Roman"/>
          <w:sz w:val="24"/>
          <w:szCs w:val="24"/>
        </w:rPr>
        <w:t xml:space="preserve"> wellbeing for citizens, not just cost efficient and effective service delivery,</w:t>
      </w:r>
      <w:r>
        <w:rPr>
          <w:rFonts w:ascii="Times New Roman" w:hAnsi="Times New Roman" w:cs="Times New Roman"/>
          <w:sz w:val="24"/>
          <w:szCs w:val="24"/>
        </w:rPr>
        <w:t xml:space="preserve"> </w:t>
      </w:r>
      <w:r w:rsidR="00937512">
        <w:rPr>
          <w:rFonts w:ascii="Times New Roman" w:hAnsi="Times New Roman" w:cs="Times New Roman"/>
          <w:sz w:val="24"/>
          <w:szCs w:val="24"/>
        </w:rPr>
        <w:t>technocratic</w:t>
      </w:r>
      <w:r w:rsidR="00D76565">
        <w:rPr>
          <w:rFonts w:ascii="Times New Roman" w:hAnsi="Times New Roman" w:cs="Times New Roman"/>
          <w:sz w:val="24"/>
          <w:szCs w:val="24"/>
        </w:rPr>
        <w:t xml:space="preserve"> </w:t>
      </w:r>
      <w:r w:rsidR="002B1D1A">
        <w:rPr>
          <w:rFonts w:ascii="Times New Roman" w:hAnsi="Times New Roman" w:cs="Times New Roman"/>
          <w:sz w:val="24"/>
          <w:szCs w:val="24"/>
        </w:rPr>
        <w:t>oriented operations and</w:t>
      </w:r>
      <w:r w:rsidR="00D76565">
        <w:rPr>
          <w:rFonts w:ascii="Times New Roman" w:hAnsi="Times New Roman" w:cs="Times New Roman"/>
          <w:sz w:val="24"/>
          <w:szCs w:val="24"/>
        </w:rPr>
        <w:t xml:space="preserve"> budgeting is simply insufficient</w:t>
      </w:r>
      <w:r>
        <w:rPr>
          <w:rFonts w:ascii="Times New Roman" w:hAnsi="Times New Roman" w:cs="Times New Roman"/>
          <w:sz w:val="24"/>
          <w:szCs w:val="24"/>
        </w:rPr>
        <w:t xml:space="preserve">: defining what “wellbeing” means and how to measure it </w:t>
      </w:r>
      <w:r w:rsidR="00B3688A">
        <w:rPr>
          <w:rFonts w:ascii="Times New Roman" w:hAnsi="Times New Roman" w:cs="Times New Roman"/>
          <w:sz w:val="24"/>
          <w:szCs w:val="24"/>
        </w:rPr>
        <w:t xml:space="preserve">also </w:t>
      </w:r>
      <w:r w:rsidR="001A639B">
        <w:rPr>
          <w:rFonts w:ascii="Times New Roman" w:hAnsi="Times New Roman" w:cs="Times New Roman"/>
          <w:sz w:val="24"/>
          <w:szCs w:val="24"/>
        </w:rPr>
        <w:t xml:space="preserve">requires </w:t>
      </w:r>
      <w:r w:rsidR="00B3688A">
        <w:rPr>
          <w:rFonts w:ascii="Times New Roman" w:hAnsi="Times New Roman" w:cs="Times New Roman"/>
          <w:sz w:val="24"/>
          <w:szCs w:val="24"/>
        </w:rPr>
        <w:t>meaningful</w:t>
      </w:r>
      <w:r w:rsidR="001A639B">
        <w:rPr>
          <w:rFonts w:ascii="Times New Roman" w:hAnsi="Times New Roman" w:cs="Times New Roman"/>
          <w:sz w:val="24"/>
          <w:szCs w:val="24"/>
        </w:rPr>
        <w:t xml:space="preserve"> involvement of those whose wellbeing is at stake; and creating and implementing wellbeing programs which are imbued with legitimacy and supported by those they are designed to impact also requires </w:t>
      </w:r>
      <w:r w:rsidR="002B1D1A">
        <w:rPr>
          <w:rFonts w:ascii="Times New Roman" w:hAnsi="Times New Roman" w:cs="Times New Roman"/>
          <w:sz w:val="24"/>
          <w:szCs w:val="24"/>
        </w:rPr>
        <w:t>extensive and on-going citizen</w:t>
      </w:r>
      <w:r w:rsidR="001A639B">
        <w:rPr>
          <w:rFonts w:ascii="Times New Roman" w:hAnsi="Times New Roman" w:cs="Times New Roman"/>
          <w:sz w:val="24"/>
          <w:szCs w:val="24"/>
        </w:rPr>
        <w:t xml:space="preserve"> involvement. </w:t>
      </w:r>
      <w:r w:rsidR="00B91016">
        <w:rPr>
          <w:rFonts w:ascii="Times New Roman" w:hAnsi="Times New Roman" w:cs="Times New Roman"/>
          <w:sz w:val="24"/>
          <w:szCs w:val="24"/>
        </w:rPr>
        <w:t>In short, what is required is a shift from trying to involve citizens in city programs to the city becoming interested in how citizens actually live their lives, and what would improve citizen well being as defined by the citizens.</w:t>
      </w:r>
    </w:p>
    <w:p w14:paraId="55629ECF" w14:textId="77777777" w:rsidR="00FA5F0C" w:rsidRDefault="00FA5F0C" w:rsidP="00E043DB">
      <w:pPr>
        <w:spacing w:after="0" w:line="240" w:lineRule="auto"/>
        <w:jc w:val="both"/>
        <w:rPr>
          <w:rFonts w:ascii="Times New Roman" w:hAnsi="Times New Roman" w:cs="Times New Roman"/>
          <w:sz w:val="24"/>
          <w:szCs w:val="24"/>
        </w:rPr>
      </w:pPr>
    </w:p>
    <w:p w14:paraId="017C8AF9" w14:textId="47EABB40" w:rsidR="00937512" w:rsidRDefault="002B1D1A" w:rsidP="00E04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1A639B">
        <w:rPr>
          <w:rFonts w:ascii="Times New Roman" w:hAnsi="Times New Roman" w:cs="Times New Roman"/>
          <w:sz w:val="24"/>
          <w:szCs w:val="24"/>
        </w:rPr>
        <w:t>chiev</w:t>
      </w:r>
      <w:r>
        <w:rPr>
          <w:rFonts w:ascii="Times New Roman" w:hAnsi="Times New Roman" w:cs="Times New Roman"/>
          <w:sz w:val="24"/>
          <w:szCs w:val="24"/>
        </w:rPr>
        <w:t>ing</w:t>
      </w:r>
      <w:r w:rsidR="001A639B">
        <w:rPr>
          <w:rFonts w:ascii="Times New Roman" w:hAnsi="Times New Roman" w:cs="Times New Roman"/>
          <w:sz w:val="24"/>
          <w:szCs w:val="24"/>
        </w:rPr>
        <w:t xml:space="preserve"> this shift, </w:t>
      </w:r>
      <w:r>
        <w:rPr>
          <w:rFonts w:ascii="Times New Roman" w:hAnsi="Times New Roman" w:cs="Times New Roman"/>
          <w:sz w:val="24"/>
          <w:szCs w:val="24"/>
        </w:rPr>
        <w:t>requires</w:t>
      </w:r>
      <w:r w:rsidR="0010370D">
        <w:rPr>
          <w:rFonts w:ascii="Times New Roman" w:hAnsi="Times New Roman" w:cs="Times New Roman"/>
          <w:sz w:val="24"/>
          <w:szCs w:val="24"/>
        </w:rPr>
        <w:t xml:space="preserve"> </w:t>
      </w:r>
      <w:r w:rsidR="001A639B">
        <w:rPr>
          <w:rFonts w:ascii="Times New Roman" w:hAnsi="Times New Roman" w:cs="Times New Roman"/>
          <w:sz w:val="24"/>
          <w:szCs w:val="24"/>
        </w:rPr>
        <w:t>alter</w:t>
      </w:r>
      <w:r w:rsidR="00871E52">
        <w:rPr>
          <w:rFonts w:ascii="Times New Roman" w:hAnsi="Times New Roman" w:cs="Times New Roman"/>
          <w:sz w:val="24"/>
          <w:szCs w:val="24"/>
        </w:rPr>
        <w:t>ing</w:t>
      </w:r>
      <w:r w:rsidR="00D67DEB">
        <w:rPr>
          <w:rFonts w:ascii="Times New Roman" w:hAnsi="Times New Roman" w:cs="Times New Roman"/>
          <w:sz w:val="24"/>
          <w:szCs w:val="24"/>
        </w:rPr>
        <w:t xml:space="preserve"> the</w:t>
      </w:r>
      <w:r w:rsidR="00871E52">
        <w:rPr>
          <w:rFonts w:ascii="Times New Roman" w:hAnsi="Times New Roman" w:cs="Times New Roman"/>
          <w:sz w:val="24"/>
          <w:szCs w:val="24"/>
        </w:rPr>
        <w:t xml:space="preserve"> </w:t>
      </w:r>
      <w:r w:rsidR="00D67DEB">
        <w:rPr>
          <w:rFonts w:ascii="Times New Roman" w:hAnsi="Times New Roman" w:cs="Times New Roman"/>
          <w:sz w:val="24"/>
          <w:szCs w:val="24"/>
        </w:rPr>
        <w:t>citizen</w:t>
      </w:r>
      <w:r w:rsidR="00871E52">
        <w:rPr>
          <w:rFonts w:ascii="Times New Roman" w:hAnsi="Times New Roman" w:cs="Times New Roman"/>
          <w:sz w:val="24"/>
          <w:szCs w:val="24"/>
        </w:rPr>
        <w:t>-administrator</w:t>
      </w:r>
      <w:r w:rsidR="00D67DEB">
        <w:rPr>
          <w:rFonts w:ascii="Times New Roman" w:hAnsi="Times New Roman" w:cs="Times New Roman"/>
          <w:sz w:val="24"/>
          <w:szCs w:val="24"/>
        </w:rPr>
        <w:t xml:space="preserve"> relationship </w:t>
      </w:r>
      <w:r w:rsidR="001A639B">
        <w:rPr>
          <w:rFonts w:ascii="Times New Roman" w:hAnsi="Times New Roman" w:cs="Times New Roman"/>
          <w:sz w:val="24"/>
          <w:szCs w:val="24"/>
        </w:rPr>
        <w:t>from “</w:t>
      </w:r>
      <w:r w:rsidR="00D67DEB">
        <w:rPr>
          <w:rFonts w:ascii="Times New Roman" w:hAnsi="Times New Roman" w:cs="Times New Roman"/>
          <w:sz w:val="24"/>
          <w:szCs w:val="24"/>
        </w:rPr>
        <w:t>Inform</w:t>
      </w:r>
      <w:r w:rsidR="001A639B">
        <w:rPr>
          <w:rFonts w:ascii="Times New Roman" w:hAnsi="Times New Roman" w:cs="Times New Roman"/>
          <w:sz w:val="24"/>
          <w:szCs w:val="24"/>
        </w:rPr>
        <w:t>ing Citizens” to “Empowering Citizens.”</w:t>
      </w:r>
      <w:r w:rsidR="00D67DEB">
        <w:rPr>
          <w:rFonts w:ascii="Times New Roman" w:hAnsi="Times New Roman" w:cs="Times New Roman"/>
          <w:sz w:val="24"/>
          <w:szCs w:val="24"/>
        </w:rPr>
        <w:t xml:space="preserve"> (Nabatchi, 2012) </w:t>
      </w:r>
      <w:r w:rsidR="00B3688A">
        <w:rPr>
          <w:rFonts w:ascii="Times New Roman" w:hAnsi="Times New Roman" w:cs="Times New Roman"/>
          <w:sz w:val="24"/>
          <w:szCs w:val="24"/>
        </w:rPr>
        <w:t xml:space="preserve">This involves what King (1998) calls replacing Conventional (Unauthentic) Participation with Authentic Participation as shown by the following figures and comparison table. </w:t>
      </w:r>
      <w:r w:rsidR="003C6659">
        <w:rPr>
          <w:rFonts w:ascii="Times New Roman" w:hAnsi="Times New Roman" w:cs="Times New Roman"/>
          <w:sz w:val="24"/>
          <w:szCs w:val="24"/>
        </w:rPr>
        <w:t xml:space="preserve">In essence, we must go from the administrator using and managing administrative systems and processes to </w:t>
      </w:r>
      <w:r w:rsidR="00456DB7">
        <w:rPr>
          <w:rFonts w:ascii="Times New Roman" w:hAnsi="Times New Roman" w:cs="Times New Roman"/>
          <w:sz w:val="24"/>
          <w:szCs w:val="24"/>
        </w:rPr>
        <w:t>define</w:t>
      </w:r>
      <w:r w:rsidR="003C6659">
        <w:rPr>
          <w:rFonts w:ascii="Times New Roman" w:hAnsi="Times New Roman" w:cs="Times New Roman"/>
          <w:sz w:val="24"/>
          <w:szCs w:val="24"/>
        </w:rPr>
        <w:t xml:space="preserve"> </w:t>
      </w:r>
      <w:r w:rsidR="00871E52">
        <w:rPr>
          <w:rFonts w:ascii="Times New Roman" w:hAnsi="Times New Roman" w:cs="Times New Roman"/>
          <w:sz w:val="24"/>
          <w:szCs w:val="24"/>
        </w:rPr>
        <w:t>issues, soliciting information from citizens, crafting solutions</w:t>
      </w:r>
      <w:r w:rsidR="003C6659">
        <w:rPr>
          <w:rFonts w:ascii="Times New Roman" w:hAnsi="Times New Roman" w:cs="Times New Roman"/>
          <w:sz w:val="24"/>
          <w:szCs w:val="24"/>
        </w:rPr>
        <w:t xml:space="preserve"> and then informing citizens what is </w:t>
      </w:r>
      <w:r w:rsidR="00FA5F0C">
        <w:rPr>
          <w:rFonts w:ascii="Times New Roman" w:hAnsi="Times New Roman" w:cs="Times New Roman"/>
          <w:sz w:val="24"/>
          <w:szCs w:val="24"/>
        </w:rPr>
        <w:t>being</w:t>
      </w:r>
      <w:r w:rsidR="003C6659">
        <w:rPr>
          <w:rFonts w:ascii="Times New Roman" w:hAnsi="Times New Roman" w:cs="Times New Roman"/>
          <w:sz w:val="24"/>
          <w:szCs w:val="24"/>
        </w:rPr>
        <w:t xml:space="preserve"> done, to the administrator (backed up by administrative systems and processes) empowering citizens to </w:t>
      </w:r>
      <w:r w:rsidR="00FA5F0C">
        <w:rPr>
          <w:rFonts w:ascii="Times New Roman" w:hAnsi="Times New Roman" w:cs="Times New Roman"/>
          <w:sz w:val="24"/>
          <w:szCs w:val="24"/>
        </w:rPr>
        <w:t xml:space="preserve">help </w:t>
      </w:r>
      <w:r w:rsidR="003C6659">
        <w:rPr>
          <w:rFonts w:ascii="Times New Roman" w:hAnsi="Times New Roman" w:cs="Times New Roman"/>
          <w:sz w:val="24"/>
          <w:szCs w:val="24"/>
        </w:rPr>
        <w:t>define and find solutions to issues and then facilitating the implementation of those solutions</w:t>
      </w:r>
      <w:r w:rsidR="00FA5F0C">
        <w:rPr>
          <w:rFonts w:ascii="Times New Roman" w:hAnsi="Times New Roman" w:cs="Times New Roman"/>
          <w:sz w:val="24"/>
          <w:szCs w:val="24"/>
        </w:rPr>
        <w:t xml:space="preserve"> with </w:t>
      </w:r>
      <w:r w:rsidR="009840A6">
        <w:rPr>
          <w:rFonts w:ascii="Times New Roman" w:hAnsi="Times New Roman" w:cs="Times New Roman"/>
          <w:sz w:val="24"/>
          <w:szCs w:val="24"/>
        </w:rPr>
        <w:t xml:space="preserve">full </w:t>
      </w:r>
      <w:r w:rsidR="00FA5F0C">
        <w:rPr>
          <w:rFonts w:ascii="Times New Roman" w:hAnsi="Times New Roman" w:cs="Times New Roman"/>
          <w:sz w:val="24"/>
          <w:szCs w:val="24"/>
        </w:rPr>
        <w:t>citizen participation</w:t>
      </w:r>
      <w:r w:rsidR="003C6659">
        <w:rPr>
          <w:rFonts w:ascii="Times New Roman" w:hAnsi="Times New Roman" w:cs="Times New Roman"/>
          <w:sz w:val="24"/>
          <w:szCs w:val="24"/>
        </w:rPr>
        <w:t xml:space="preserve">. </w:t>
      </w:r>
      <w:r w:rsidR="00416822">
        <w:rPr>
          <w:rFonts w:ascii="Times New Roman" w:hAnsi="Times New Roman" w:cs="Times New Roman"/>
          <w:sz w:val="24"/>
          <w:szCs w:val="24"/>
        </w:rPr>
        <w:t>For this shift to be accomplished, administrators (including budget directors and budget staff) must have additional skills (e.g</w:t>
      </w:r>
      <w:r w:rsidR="00DA124F">
        <w:rPr>
          <w:rFonts w:ascii="Times New Roman" w:hAnsi="Times New Roman" w:cs="Times New Roman"/>
          <w:sz w:val="24"/>
          <w:szCs w:val="24"/>
        </w:rPr>
        <w:t>.</w:t>
      </w:r>
      <w:r w:rsidR="00416822">
        <w:rPr>
          <w:rFonts w:ascii="Times New Roman" w:hAnsi="Times New Roman" w:cs="Times New Roman"/>
          <w:sz w:val="24"/>
          <w:szCs w:val="24"/>
        </w:rPr>
        <w:t xml:space="preserve"> interpersonal, discourse and facilitation) and be skilled in </w:t>
      </w:r>
      <w:r w:rsidR="003C6659">
        <w:rPr>
          <w:rFonts w:ascii="Times New Roman" w:hAnsi="Times New Roman" w:cs="Times New Roman"/>
          <w:sz w:val="24"/>
          <w:szCs w:val="24"/>
        </w:rPr>
        <w:t>a</w:t>
      </w:r>
      <w:r w:rsidR="00416822">
        <w:rPr>
          <w:rFonts w:ascii="Times New Roman" w:hAnsi="Times New Roman" w:cs="Times New Roman"/>
          <w:sz w:val="24"/>
          <w:szCs w:val="24"/>
        </w:rPr>
        <w:t xml:space="preserve"> very wide range of </w:t>
      </w:r>
      <w:r w:rsidR="003C6659">
        <w:rPr>
          <w:rFonts w:ascii="Times New Roman" w:hAnsi="Times New Roman" w:cs="Times New Roman"/>
          <w:sz w:val="24"/>
          <w:szCs w:val="24"/>
        </w:rPr>
        <w:t xml:space="preserve">public </w:t>
      </w:r>
      <w:r w:rsidR="00416822">
        <w:rPr>
          <w:rFonts w:ascii="Times New Roman" w:hAnsi="Times New Roman" w:cs="Times New Roman"/>
          <w:sz w:val="24"/>
          <w:szCs w:val="24"/>
        </w:rPr>
        <w:t>participation techniques</w:t>
      </w:r>
      <w:r w:rsidR="003C6659">
        <w:rPr>
          <w:rFonts w:ascii="Times New Roman" w:hAnsi="Times New Roman" w:cs="Times New Roman"/>
          <w:sz w:val="24"/>
          <w:szCs w:val="24"/>
        </w:rPr>
        <w:t xml:space="preserve">. </w:t>
      </w:r>
      <w:r w:rsidR="00416822">
        <w:rPr>
          <w:rFonts w:ascii="Times New Roman" w:hAnsi="Times New Roman" w:cs="Times New Roman"/>
          <w:sz w:val="24"/>
          <w:szCs w:val="24"/>
        </w:rPr>
        <w:t xml:space="preserve"> </w:t>
      </w:r>
      <w:r w:rsidR="003C6659">
        <w:rPr>
          <w:rFonts w:ascii="Times New Roman" w:hAnsi="Times New Roman" w:cs="Times New Roman"/>
          <w:sz w:val="24"/>
          <w:szCs w:val="24"/>
        </w:rPr>
        <w:t xml:space="preserve">Unfortunately, development </w:t>
      </w:r>
      <w:r w:rsidR="009840A6">
        <w:rPr>
          <w:rFonts w:ascii="Times New Roman" w:hAnsi="Times New Roman" w:cs="Times New Roman"/>
          <w:sz w:val="24"/>
          <w:szCs w:val="24"/>
        </w:rPr>
        <w:t xml:space="preserve">and </w:t>
      </w:r>
      <w:r w:rsidR="009840A6">
        <w:rPr>
          <w:rFonts w:ascii="Times New Roman" w:hAnsi="Times New Roman" w:cs="Times New Roman"/>
          <w:sz w:val="24"/>
          <w:szCs w:val="24"/>
        </w:rPr>
        <w:lastRenderedPageBreak/>
        <w:t xml:space="preserve">teaching </w:t>
      </w:r>
      <w:r w:rsidR="003C6659">
        <w:rPr>
          <w:rFonts w:ascii="Times New Roman" w:hAnsi="Times New Roman" w:cs="Times New Roman"/>
          <w:sz w:val="24"/>
          <w:szCs w:val="24"/>
        </w:rPr>
        <w:t xml:space="preserve">of these personal skills and public participation techniques are largely not </w:t>
      </w:r>
      <w:r w:rsidR="00416822">
        <w:rPr>
          <w:rFonts w:ascii="Times New Roman" w:hAnsi="Times New Roman" w:cs="Times New Roman"/>
          <w:sz w:val="24"/>
          <w:szCs w:val="24"/>
        </w:rPr>
        <w:t xml:space="preserve">provided in </w:t>
      </w:r>
      <w:r w:rsidR="003C6659">
        <w:rPr>
          <w:rFonts w:ascii="Times New Roman" w:hAnsi="Times New Roman" w:cs="Times New Roman"/>
          <w:sz w:val="24"/>
          <w:szCs w:val="24"/>
        </w:rPr>
        <w:t xml:space="preserve">current </w:t>
      </w:r>
      <w:r w:rsidR="00416822">
        <w:rPr>
          <w:rFonts w:ascii="Times New Roman" w:hAnsi="Times New Roman" w:cs="Times New Roman"/>
          <w:sz w:val="24"/>
          <w:szCs w:val="24"/>
        </w:rPr>
        <w:t>Masters of Public Administration programs</w:t>
      </w:r>
      <w:r w:rsidR="003C6659">
        <w:rPr>
          <w:rFonts w:ascii="Times New Roman" w:hAnsi="Times New Roman" w:cs="Times New Roman"/>
          <w:sz w:val="24"/>
          <w:szCs w:val="24"/>
        </w:rPr>
        <w:t>.</w:t>
      </w:r>
    </w:p>
    <w:p w14:paraId="3E6778FD" w14:textId="229967BD" w:rsidR="00DA124F" w:rsidRDefault="00DA124F" w:rsidP="00E043DB">
      <w:pPr>
        <w:spacing w:after="0" w:line="240" w:lineRule="auto"/>
        <w:jc w:val="both"/>
        <w:rPr>
          <w:rFonts w:ascii="Times New Roman" w:hAnsi="Times New Roman" w:cs="Times New Roman"/>
          <w:sz w:val="24"/>
          <w:szCs w:val="24"/>
        </w:rPr>
      </w:pPr>
    </w:p>
    <w:p w14:paraId="6A6C844C" w14:textId="77777777" w:rsidR="00FC751E" w:rsidRDefault="004A01F2" w:rsidP="00E043D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tbl>
      <w:tblPr>
        <w:tblStyle w:val="TableGrid"/>
        <w:tblW w:w="0" w:type="auto"/>
        <w:tblLook w:val="04A0" w:firstRow="1" w:lastRow="0" w:firstColumn="1" w:lastColumn="0" w:noHBand="0" w:noVBand="1"/>
      </w:tblPr>
      <w:tblGrid>
        <w:gridCol w:w="4617"/>
        <w:gridCol w:w="4733"/>
      </w:tblGrid>
      <w:tr w:rsidR="005B2E50" w14:paraId="37128388" w14:textId="77777777" w:rsidTr="00C646B2">
        <w:trPr>
          <w:trHeight w:val="401"/>
        </w:trPr>
        <w:tc>
          <w:tcPr>
            <w:tcW w:w="7128" w:type="dxa"/>
          </w:tcPr>
          <w:p w14:paraId="41535F7C" w14:textId="77777777" w:rsidR="00FC751E" w:rsidRDefault="00FC751E" w:rsidP="00C646B2">
            <w:pPr>
              <w:kinsoku w:val="0"/>
              <w:overflowPunct w:val="0"/>
              <w:textAlignment w:val="baseline"/>
              <w:rPr>
                <w:b/>
                <w:bCs/>
                <w:color w:val="1A261F"/>
                <w:spacing w:val="-12"/>
                <w:sz w:val="19"/>
                <w:szCs w:val="19"/>
              </w:rPr>
            </w:pPr>
            <w:r>
              <w:rPr>
                <w:b/>
                <w:bCs/>
                <w:color w:val="1A261F"/>
                <w:spacing w:val="-12"/>
                <w:sz w:val="19"/>
                <w:szCs w:val="19"/>
              </w:rPr>
              <w:t>Table 1</w:t>
            </w:r>
          </w:p>
          <w:p w14:paraId="3682DE68" w14:textId="77777777" w:rsidR="00FC751E" w:rsidRPr="00F300E1" w:rsidRDefault="00FC751E" w:rsidP="00C646B2">
            <w:pPr>
              <w:kinsoku w:val="0"/>
              <w:overflowPunct w:val="0"/>
              <w:textAlignment w:val="baseline"/>
              <w:rPr>
                <w:b/>
                <w:bCs/>
                <w:color w:val="1A261F"/>
                <w:spacing w:val="-5"/>
                <w:sz w:val="19"/>
                <w:szCs w:val="19"/>
              </w:rPr>
            </w:pPr>
            <w:r>
              <w:rPr>
                <w:b/>
                <w:bCs/>
                <w:color w:val="1A261F"/>
                <w:spacing w:val="-5"/>
                <w:sz w:val="19"/>
                <w:szCs w:val="19"/>
              </w:rPr>
              <w:t>Comparison of Authentic and Unauthentic Participation</w:t>
            </w:r>
          </w:p>
        </w:tc>
        <w:tc>
          <w:tcPr>
            <w:tcW w:w="7470" w:type="dxa"/>
          </w:tcPr>
          <w:p w14:paraId="559B04C3" w14:textId="77777777" w:rsidR="00FC751E" w:rsidRDefault="00FC751E" w:rsidP="00C646B2"/>
        </w:tc>
      </w:tr>
      <w:tr w:rsidR="005B2E50" w14:paraId="01A6A47D" w14:textId="77777777" w:rsidTr="00C646B2">
        <w:trPr>
          <w:trHeight w:val="4553"/>
        </w:trPr>
        <w:tc>
          <w:tcPr>
            <w:tcW w:w="7128" w:type="dxa"/>
          </w:tcPr>
          <w:p w14:paraId="5C4CD850" w14:textId="579F1DF0" w:rsidR="00FC751E" w:rsidRDefault="005B2E50" w:rsidP="005B2E50">
            <w:pPr>
              <w:jc w:val="center"/>
            </w:pPr>
            <w:r>
              <w:rPr>
                <w:noProof/>
              </w:rPr>
              <w:drawing>
                <wp:inline distT="0" distB="0" distL="0" distR="0" wp14:anchorId="0E4C584F" wp14:editId="6C1A4928">
                  <wp:extent cx="2876550" cy="2445067"/>
                  <wp:effectExtent l="0" t="0" r="0" b="0"/>
                  <wp:docPr id="6" name="Picture 6" descr="D:\Users\User\Documents\Auth-inauth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User\Documents\Auth-inauthdiagram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3958" cy="2468364"/>
                          </a:xfrm>
                          <a:prstGeom prst="rect">
                            <a:avLst/>
                          </a:prstGeom>
                          <a:noFill/>
                          <a:ln>
                            <a:noFill/>
                          </a:ln>
                        </pic:spPr>
                      </pic:pic>
                    </a:graphicData>
                  </a:graphic>
                </wp:inline>
              </w:drawing>
            </w:r>
          </w:p>
        </w:tc>
        <w:tc>
          <w:tcPr>
            <w:tcW w:w="7470" w:type="dxa"/>
          </w:tcPr>
          <w:p w14:paraId="0B136216" w14:textId="14ED045E" w:rsidR="00FC751E" w:rsidRDefault="005B2E50" w:rsidP="005B2E50">
            <w:pPr>
              <w:jc w:val="center"/>
            </w:pPr>
            <w:r>
              <w:rPr>
                <w:noProof/>
              </w:rPr>
              <w:drawing>
                <wp:inline distT="0" distB="0" distL="0" distR="0" wp14:anchorId="7FA9F6D4" wp14:editId="12D0B7EB">
                  <wp:extent cx="2952750" cy="2429866"/>
                  <wp:effectExtent l="0" t="0" r="0" b="8890"/>
                  <wp:docPr id="5" name="Picture 5" descr="D:\Users\User\Documents\auth-inau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User\Documents\auth-inauth-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069" cy="2455639"/>
                          </a:xfrm>
                          <a:prstGeom prst="rect">
                            <a:avLst/>
                          </a:prstGeom>
                          <a:noFill/>
                          <a:ln>
                            <a:noFill/>
                          </a:ln>
                        </pic:spPr>
                      </pic:pic>
                    </a:graphicData>
                  </a:graphic>
                </wp:inline>
              </w:drawing>
            </w:r>
          </w:p>
        </w:tc>
      </w:tr>
    </w:tbl>
    <w:p w14:paraId="7D57B27E" w14:textId="77777777" w:rsidR="005B2E50" w:rsidRDefault="004A01F2" w:rsidP="00E043D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tbl>
      <w:tblPr>
        <w:tblStyle w:val="TableGrid1"/>
        <w:tblW w:w="0" w:type="auto"/>
        <w:tblLook w:val="04A0" w:firstRow="1" w:lastRow="0" w:firstColumn="1" w:lastColumn="0" w:noHBand="0" w:noVBand="1"/>
      </w:tblPr>
      <w:tblGrid>
        <w:gridCol w:w="2273"/>
        <w:gridCol w:w="3522"/>
        <w:gridCol w:w="3555"/>
      </w:tblGrid>
      <w:tr w:rsidR="005B2E50" w:rsidRPr="005B2E50" w14:paraId="1DDEA735" w14:textId="77777777" w:rsidTr="00C646B2">
        <w:tc>
          <w:tcPr>
            <w:tcW w:w="3438" w:type="dxa"/>
          </w:tcPr>
          <w:p w14:paraId="1B4F92EC" w14:textId="77777777" w:rsidR="005B2E50" w:rsidRDefault="005B2E50" w:rsidP="005B2E50">
            <w:pPr>
              <w:rPr>
                <w:rFonts w:eastAsiaTheme="minorEastAsia"/>
                <w:sz w:val="20"/>
                <w:szCs w:val="20"/>
              </w:rPr>
            </w:pPr>
          </w:p>
          <w:p w14:paraId="4E379302" w14:textId="77777777" w:rsidR="005B2E50" w:rsidRDefault="005B2E50" w:rsidP="005B2E50">
            <w:pPr>
              <w:rPr>
                <w:rFonts w:eastAsiaTheme="minorEastAsia"/>
                <w:sz w:val="20"/>
                <w:szCs w:val="20"/>
              </w:rPr>
            </w:pPr>
          </w:p>
          <w:p w14:paraId="348B7001" w14:textId="07B88E4B" w:rsidR="005B2E50" w:rsidRPr="005B2E50" w:rsidRDefault="005B2E50" w:rsidP="005B2E50">
            <w:pPr>
              <w:rPr>
                <w:rFonts w:eastAsiaTheme="minorEastAsia"/>
                <w:sz w:val="20"/>
                <w:szCs w:val="20"/>
              </w:rPr>
            </w:pPr>
            <w:r w:rsidRPr="005B2E50">
              <w:rPr>
                <w:rFonts w:eastAsiaTheme="minorEastAsia"/>
                <w:sz w:val="20"/>
                <w:szCs w:val="20"/>
              </w:rPr>
              <w:t xml:space="preserve">Interaction style </w:t>
            </w:r>
          </w:p>
          <w:p w14:paraId="6454A928" w14:textId="77777777" w:rsidR="005B2E50" w:rsidRPr="005B2E50" w:rsidRDefault="005B2E50" w:rsidP="005B2E50">
            <w:pPr>
              <w:rPr>
                <w:rFonts w:eastAsiaTheme="minorEastAsia"/>
                <w:sz w:val="20"/>
                <w:szCs w:val="20"/>
              </w:rPr>
            </w:pPr>
            <w:r w:rsidRPr="005B2E50">
              <w:rPr>
                <w:rFonts w:eastAsiaTheme="minorEastAsia"/>
                <w:sz w:val="20"/>
                <w:szCs w:val="20"/>
              </w:rPr>
              <w:t>Participation is sought</w:t>
            </w:r>
          </w:p>
          <w:p w14:paraId="5E4F5A59" w14:textId="77777777" w:rsidR="0010370D" w:rsidRDefault="0010370D" w:rsidP="005B2E50">
            <w:pPr>
              <w:rPr>
                <w:rFonts w:eastAsiaTheme="minorEastAsia"/>
                <w:spacing w:val="-6"/>
                <w:sz w:val="20"/>
                <w:szCs w:val="20"/>
              </w:rPr>
            </w:pPr>
          </w:p>
          <w:p w14:paraId="1EEA58B9" w14:textId="2549FC9F" w:rsidR="005B2E50" w:rsidRPr="005B2E50" w:rsidRDefault="005B2E50" w:rsidP="005B2E50">
            <w:pPr>
              <w:rPr>
                <w:rFonts w:eastAsiaTheme="minorEastAsia"/>
                <w:spacing w:val="-6"/>
                <w:sz w:val="20"/>
                <w:szCs w:val="20"/>
              </w:rPr>
            </w:pPr>
            <w:r w:rsidRPr="005B2E50">
              <w:rPr>
                <w:rFonts w:eastAsiaTheme="minorEastAsia"/>
                <w:spacing w:val="-6"/>
                <w:sz w:val="20"/>
                <w:szCs w:val="20"/>
              </w:rPr>
              <w:t xml:space="preserve">Role of administrator </w:t>
            </w:r>
          </w:p>
          <w:p w14:paraId="1F5A67FB" w14:textId="77777777" w:rsidR="005B2E50" w:rsidRPr="005B2E50" w:rsidRDefault="005B2E50" w:rsidP="005B2E50">
            <w:pPr>
              <w:rPr>
                <w:rFonts w:eastAsiaTheme="minorEastAsia"/>
                <w:spacing w:val="-6"/>
                <w:sz w:val="20"/>
                <w:szCs w:val="20"/>
              </w:rPr>
            </w:pPr>
            <w:r w:rsidRPr="005B2E50">
              <w:rPr>
                <w:rFonts w:eastAsiaTheme="minorEastAsia"/>
                <w:spacing w:val="-6"/>
                <w:sz w:val="20"/>
                <w:szCs w:val="20"/>
              </w:rPr>
              <w:t xml:space="preserve">Administrative skills </w:t>
            </w:r>
          </w:p>
          <w:p w14:paraId="6D28C68D" w14:textId="77777777" w:rsidR="0010370D" w:rsidRDefault="005B2E50" w:rsidP="005B2E50">
            <w:pPr>
              <w:rPr>
                <w:rFonts w:eastAsiaTheme="minorEastAsia"/>
                <w:spacing w:val="-6"/>
                <w:sz w:val="20"/>
                <w:szCs w:val="20"/>
              </w:rPr>
            </w:pPr>
            <w:r w:rsidRPr="005B2E50">
              <w:rPr>
                <w:rFonts w:eastAsiaTheme="minorEastAsia"/>
                <w:spacing w:val="-6"/>
                <w:sz w:val="20"/>
                <w:szCs w:val="20"/>
              </w:rPr>
              <w:t xml:space="preserve">needed </w:t>
            </w:r>
          </w:p>
          <w:p w14:paraId="5BC1282E" w14:textId="77777777" w:rsidR="0010370D" w:rsidRDefault="0010370D" w:rsidP="005B2E50">
            <w:pPr>
              <w:rPr>
                <w:rFonts w:eastAsiaTheme="minorEastAsia"/>
                <w:spacing w:val="-6"/>
                <w:sz w:val="20"/>
                <w:szCs w:val="20"/>
              </w:rPr>
            </w:pPr>
          </w:p>
          <w:p w14:paraId="6A53D98E" w14:textId="34026A9F" w:rsidR="005B2E50" w:rsidRPr="005B2E50" w:rsidRDefault="005B2E50" w:rsidP="005B2E50">
            <w:pPr>
              <w:rPr>
                <w:rFonts w:eastAsiaTheme="minorEastAsia"/>
                <w:spacing w:val="-6"/>
                <w:sz w:val="20"/>
                <w:szCs w:val="20"/>
              </w:rPr>
            </w:pPr>
            <w:r w:rsidRPr="005B2E50">
              <w:rPr>
                <w:rFonts w:eastAsiaTheme="minorEastAsia"/>
                <w:spacing w:val="-6"/>
                <w:sz w:val="20"/>
                <w:szCs w:val="20"/>
              </w:rPr>
              <w:t xml:space="preserve">Role of citizen </w:t>
            </w:r>
          </w:p>
          <w:p w14:paraId="2DCE0077" w14:textId="77777777" w:rsidR="005B2E50" w:rsidRPr="005B2E50" w:rsidRDefault="005B2E50" w:rsidP="005B2E50">
            <w:pPr>
              <w:rPr>
                <w:rFonts w:eastAsiaTheme="minorEastAsia"/>
                <w:spacing w:val="-6"/>
                <w:sz w:val="20"/>
                <w:szCs w:val="20"/>
              </w:rPr>
            </w:pPr>
            <w:r w:rsidRPr="005B2E50">
              <w:rPr>
                <w:rFonts w:eastAsiaTheme="minorEastAsia"/>
                <w:spacing w:val="-6"/>
                <w:sz w:val="20"/>
                <w:szCs w:val="20"/>
              </w:rPr>
              <w:t xml:space="preserve">Citizenship skills </w:t>
            </w:r>
          </w:p>
          <w:p w14:paraId="0EDD0E51" w14:textId="77777777" w:rsidR="0010370D" w:rsidRDefault="005B2E50" w:rsidP="005B2E50">
            <w:pPr>
              <w:rPr>
                <w:rFonts w:eastAsiaTheme="minorEastAsia"/>
                <w:spacing w:val="-6"/>
                <w:sz w:val="20"/>
                <w:szCs w:val="20"/>
              </w:rPr>
            </w:pPr>
            <w:r w:rsidRPr="005B2E50">
              <w:rPr>
                <w:rFonts w:eastAsiaTheme="minorEastAsia"/>
                <w:spacing w:val="-6"/>
                <w:sz w:val="20"/>
                <w:szCs w:val="20"/>
              </w:rPr>
              <w:t xml:space="preserve">needed </w:t>
            </w:r>
          </w:p>
          <w:p w14:paraId="6152AB9C" w14:textId="77777777" w:rsidR="0010370D" w:rsidRDefault="0010370D" w:rsidP="005B2E50">
            <w:pPr>
              <w:rPr>
                <w:rFonts w:eastAsiaTheme="minorEastAsia"/>
                <w:spacing w:val="-6"/>
                <w:sz w:val="20"/>
                <w:szCs w:val="20"/>
              </w:rPr>
            </w:pPr>
          </w:p>
          <w:p w14:paraId="52F4B3F0" w14:textId="1C2F656C" w:rsidR="005B2E50" w:rsidRPr="005B2E50" w:rsidRDefault="005B2E50" w:rsidP="005B2E50">
            <w:pPr>
              <w:rPr>
                <w:rFonts w:eastAsiaTheme="minorEastAsia"/>
                <w:spacing w:val="-6"/>
                <w:sz w:val="20"/>
                <w:szCs w:val="20"/>
              </w:rPr>
            </w:pPr>
            <w:r w:rsidRPr="005B2E50">
              <w:rPr>
                <w:rFonts w:eastAsiaTheme="minorEastAsia"/>
                <w:spacing w:val="-6"/>
                <w:sz w:val="20"/>
                <w:szCs w:val="20"/>
              </w:rPr>
              <w:t xml:space="preserve">Approach toward "other" </w:t>
            </w:r>
          </w:p>
          <w:p w14:paraId="10A7EECF" w14:textId="77777777" w:rsidR="005B2E50" w:rsidRPr="005B2E50" w:rsidRDefault="005B2E50" w:rsidP="005B2E50">
            <w:pPr>
              <w:rPr>
                <w:rFonts w:eastAsiaTheme="minorEastAsia"/>
                <w:spacing w:val="-6"/>
                <w:sz w:val="20"/>
                <w:szCs w:val="20"/>
              </w:rPr>
            </w:pPr>
            <w:r w:rsidRPr="005B2E50">
              <w:rPr>
                <w:rFonts w:eastAsiaTheme="minorEastAsia"/>
                <w:spacing w:val="-6"/>
                <w:sz w:val="20"/>
                <w:szCs w:val="20"/>
              </w:rPr>
              <w:t xml:space="preserve">Administrative process </w:t>
            </w:r>
          </w:p>
          <w:p w14:paraId="15812EE7" w14:textId="77777777" w:rsidR="005B2E50" w:rsidRPr="005B2E50" w:rsidRDefault="005B2E50" w:rsidP="005B2E50">
            <w:pPr>
              <w:rPr>
                <w:rFonts w:eastAsiaTheme="minorEastAsia"/>
                <w:spacing w:val="-6"/>
                <w:sz w:val="20"/>
                <w:szCs w:val="20"/>
              </w:rPr>
            </w:pPr>
            <w:r w:rsidRPr="005B2E50">
              <w:rPr>
                <w:rFonts w:eastAsiaTheme="minorEastAsia"/>
                <w:spacing w:val="-6"/>
                <w:sz w:val="20"/>
                <w:szCs w:val="20"/>
              </w:rPr>
              <w:t xml:space="preserve">Citizen options </w:t>
            </w:r>
          </w:p>
          <w:p w14:paraId="17F11422" w14:textId="77777777" w:rsidR="005B2E50" w:rsidRPr="005B2E50" w:rsidRDefault="005B2E50" w:rsidP="005B2E50">
            <w:pPr>
              <w:rPr>
                <w:rFonts w:eastAsiaTheme="minorEastAsia"/>
                <w:spacing w:val="-6"/>
                <w:sz w:val="20"/>
                <w:szCs w:val="20"/>
              </w:rPr>
            </w:pPr>
            <w:r w:rsidRPr="005B2E50">
              <w:rPr>
                <w:rFonts w:eastAsiaTheme="minorEastAsia"/>
                <w:spacing w:val="-6"/>
                <w:sz w:val="20"/>
                <w:szCs w:val="20"/>
              </w:rPr>
              <w:t xml:space="preserve">Citizen output </w:t>
            </w:r>
          </w:p>
          <w:p w14:paraId="169E2961" w14:textId="77777777" w:rsidR="005B2E50" w:rsidRPr="005B2E50" w:rsidRDefault="005B2E50" w:rsidP="005B2E50">
            <w:pPr>
              <w:rPr>
                <w:rFonts w:eastAsiaTheme="minorEastAsia"/>
                <w:spacing w:val="-6"/>
                <w:sz w:val="20"/>
                <w:szCs w:val="20"/>
              </w:rPr>
            </w:pPr>
            <w:r w:rsidRPr="005B2E50">
              <w:rPr>
                <w:rFonts w:eastAsiaTheme="minorEastAsia"/>
                <w:spacing w:val="-6"/>
                <w:sz w:val="20"/>
                <w:szCs w:val="20"/>
              </w:rPr>
              <w:t>Administrator output</w:t>
            </w:r>
          </w:p>
          <w:p w14:paraId="4CA63D96" w14:textId="77777777" w:rsidR="005B2E50" w:rsidRPr="005B2E50" w:rsidRDefault="005B2E50" w:rsidP="005B2E50">
            <w:pPr>
              <w:rPr>
                <w:rFonts w:eastAsiaTheme="minorEastAsia"/>
                <w:spacing w:val="-9"/>
                <w:sz w:val="20"/>
                <w:szCs w:val="20"/>
              </w:rPr>
            </w:pPr>
            <w:r w:rsidRPr="005B2E50">
              <w:rPr>
                <w:rFonts w:eastAsiaTheme="minorEastAsia"/>
                <w:spacing w:val="-9"/>
                <w:sz w:val="20"/>
                <w:szCs w:val="20"/>
              </w:rPr>
              <w:t>Time to decision</w:t>
            </w:r>
          </w:p>
          <w:p w14:paraId="20958B0C" w14:textId="77777777" w:rsidR="005B2E50" w:rsidRPr="005B2E50" w:rsidRDefault="005B2E50" w:rsidP="005B2E50">
            <w:pPr>
              <w:rPr>
                <w:rFonts w:eastAsiaTheme="minorEastAsia"/>
                <w:spacing w:val="-9"/>
                <w:sz w:val="20"/>
                <w:szCs w:val="20"/>
              </w:rPr>
            </w:pPr>
          </w:p>
          <w:p w14:paraId="400F0D5A" w14:textId="77777777" w:rsidR="005B2E50" w:rsidRDefault="005B2E50" w:rsidP="005B2E50">
            <w:pPr>
              <w:rPr>
                <w:rFonts w:eastAsiaTheme="minorEastAsia"/>
                <w:spacing w:val="-9"/>
                <w:sz w:val="20"/>
                <w:szCs w:val="20"/>
              </w:rPr>
            </w:pPr>
          </w:p>
          <w:p w14:paraId="79BDF6F8" w14:textId="77777777" w:rsidR="005B2E50" w:rsidRDefault="005B2E50" w:rsidP="005B2E50">
            <w:pPr>
              <w:rPr>
                <w:rFonts w:eastAsiaTheme="minorEastAsia"/>
                <w:spacing w:val="-9"/>
                <w:sz w:val="20"/>
                <w:szCs w:val="20"/>
              </w:rPr>
            </w:pPr>
          </w:p>
          <w:p w14:paraId="4387C66B" w14:textId="77777777" w:rsidR="0010370D" w:rsidRDefault="0010370D" w:rsidP="005B2E50">
            <w:pPr>
              <w:rPr>
                <w:rFonts w:eastAsiaTheme="minorEastAsia"/>
                <w:spacing w:val="-9"/>
                <w:sz w:val="20"/>
                <w:szCs w:val="20"/>
              </w:rPr>
            </w:pPr>
          </w:p>
          <w:p w14:paraId="2403FFE3" w14:textId="2F895B7E" w:rsidR="005B2E50" w:rsidRPr="005B2E50" w:rsidRDefault="005B2E50" w:rsidP="005B2E50">
            <w:pPr>
              <w:rPr>
                <w:rFonts w:eastAsiaTheme="minorEastAsia"/>
                <w:spacing w:val="-9"/>
                <w:sz w:val="20"/>
                <w:szCs w:val="20"/>
              </w:rPr>
            </w:pPr>
            <w:r w:rsidRPr="005B2E50">
              <w:rPr>
                <w:rFonts w:eastAsiaTheme="minorEastAsia"/>
                <w:spacing w:val="-9"/>
                <w:sz w:val="20"/>
                <w:szCs w:val="20"/>
              </w:rPr>
              <w:t>Decision is made</w:t>
            </w:r>
          </w:p>
          <w:p w14:paraId="487C679A" w14:textId="77777777" w:rsidR="005B2E50" w:rsidRPr="005B2E50" w:rsidRDefault="005B2E50" w:rsidP="005B2E50">
            <w:pPr>
              <w:rPr>
                <w:rFonts w:eastAsiaTheme="minorEastAsia"/>
                <w:sz w:val="20"/>
                <w:szCs w:val="20"/>
              </w:rPr>
            </w:pPr>
          </w:p>
        </w:tc>
        <w:tc>
          <w:tcPr>
            <w:tcW w:w="5400" w:type="dxa"/>
          </w:tcPr>
          <w:p w14:paraId="679F6B5D" w14:textId="77777777" w:rsidR="005B2E50" w:rsidRPr="005B2E50" w:rsidRDefault="005B2E50" w:rsidP="005B2E50">
            <w:pPr>
              <w:kinsoku w:val="0"/>
              <w:overflowPunct w:val="0"/>
              <w:textAlignment w:val="baseline"/>
              <w:rPr>
                <w:rFonts w:eastAsiaTheme="minorEastAsia"/>
                <w:b/>
                <w:bCs/>
                <w:color w:val="1A261F"/>
                <w:spacing w:val="-7"/>
                <w:sz w:val="20"/>
                <w:szCs w:val="20"/>
              </w:rPr>
            </w:pPr>
            <w:r w:rsidRPr="005B2E50">
              <w:rPr>
                <w:rFonts w:eastAsiaTheme="minorEastAsia"/>
                <w:b/>
                <w:bCs/>
                <w:color w:val="1A261F"/>
                <w:spacing w:val="-7"/>
                <w:sz w:val="20"/>
                <w:szCs w:val="20"/>
              </w:rPr>
              <w:t>Unauthentic Participation</w:t>
            </w:r>
          </w:p>
          <w:p w14:paraId="0406BF33" w14:textId="77777777" w:rsidR="005B2E50" w:rsidRDefault="005B2E50" w:rsidP="005B2E50">
            <w:pPr>
              <w:kinsoku w:val="0"/>
              <w:overflowPunct w:val="0"/>
              <w:textAlignment w:val="baseline"/>
              <w:rPr>
                <w:rFonts w:eastAsiaTheme="minorEastAsia"/>
                <w:color w:val="1A261F"/>
                <w:spacing w:val="-4"/>
                <w:sz w:val="20"/>
                <w:szCs w:val="20"/>
              </w:rPr>
            </w:pPr>
          </w:p>
          <w:p w14:paraId="69E6C89E" w14:textId="450FA3AB" w:rsidR="005B2E50" w:rsidRPr="005B2E50" w:rsidRDefault="005B2E50" w:rsidP="005B2E50">
            <w:pPr>
              <w:kinsoku w:val="0"/>
              <w:overflowPunct w:val="0"/>
              <w:textAlignment w:val="baseline"/>
              <w:rPr>
                <w:rFonts w:eastAsiaTheme="minorEastAsia"/>
                <w:color w:val="1A261F"/>
                <w:spacing w:val="-4"/>
                <w:sz w:val="20"/>
                <w:szCs w:val="20"/>
              </w:rPr>
            </w:pPr>
            <w:r w:rsidRPr="005B2E50">
              <w:rPr>
                <w:rFonts w:eastAsiaTheme="minorEastAsia"/>
                <w:color w:val="1A261F"/>
                <w:spacing w:val="-4"/>
                <w:sz w:val="20"/>
                <w:szCs w:val="20"/>
              </w:rPr>
              <w:t>Conflictual</w:t>
            </w:r>
          </w:p>
          <w:p w14:paraId="55AB3C93" w14:textId="77777777" w:rsidR="005B2E50" w:rsidRPr="005B2E50" w:rsidRDefault="005B2E50" w:rsidP="005B2E50">
            <w:pPr>
              <w:kinsoku w:val="0"/>
              <w:overflowPunct w:val="0"/>
              <w:textAlignment w:val="baseline"/>
              <w:rPr>
                <w:rFonts w:eastAsiaTheme="minorEastAsia"/>
                <w:color w:val="1A261F"/>
                <w:spacing w:val="-8"/>
                <w:sz w:val="20"/>
                <w:szCs w:val="20"/>
              </w:rPr>
            </w:pPr>
            <w:r w:rsidRPr="005B2E50">
              <w:rPr>
                <w:rFonts w:eastAsiaTheme="minorEastAsia"/>
                <w:color w:val="1A261F"/>
                <w:spacing w:val="-8"/>
                <w:sz w:val="20"/>
                <w:szCs w:val="20"/>
              </w:rPr>
              <w:t>After the agenda is set and decisions are made</w:t>
            </w:r>
          </w:p>
          <w:p w14:paraId="253FB1D0" w14:textId="53AC6B97" w:rsidR="005B2E50" w:rsidRPr="005B2E50" w:rsidRDefault="005B2E50" w:rsidP="005B2E50">
            <w:pPr>
              <w:kinsoku w:val="0"/>
              <w:overflowPunct w:val="0"/>
              <w:textAlignment w:val="baseline"/>
              <w:rPr>
                <w:rFonts w:eastAsiaTheme="minorEastAsia"/>
                <w:color w:val="1A261F"/>
                <w:spacing w:val="-4"/>
                <w:sz w:val="20"/>
                <w:szCs w:val="20"/>
              </w:rPr>
            </w:pPr>
            <w:r w:rsidRPr="005B2E50">
              <w:rPr>
                <w:rFonts w:eastAsiaTheme="minorEastAsia"/>
                <w:color w:val="1A261F"/>
                <w:spacing w:val="-4"/>
                <w:sz w:val="20"/>
                <w:szCs w:val="20"/>
              </w:rPr>
              <w:t>Expert technician/manager</w:t>
            </w:r>
          </w:p>
          <w:p w14:paraId="5FC4E9B6" w14:textId="77777777" w:rsidR="0010370D" w:rsidRDefault="0010370D" w:rsidP="005B2E50">
            <w:pPr>
              <w:kinsoku w:val="0"/>
              <w:overflowPunct w:val="0"/>
              <w:textAlignment w:val="baseline"/>
              <w:rPr>
                <w:rFonts w:eastAsiaTheme="minorEastAsia"/>
                <w:color w:val="1A261F"/>
                <w:spacing w:val="-5"/>
                <w:sz w:val="20"/>
                <w:szCs w:val="20"/>
              </w:rPr>
            </w:pPr>
          </w:p>
          <w:p w14:paraId="17954D4F" w14:textId="6AEEA1DF" w:rsidR="005B2E50" w:rsidRPr="005B2E50" w:rsidRDefault="005B2E50" w:rsidP="005B2E50">
            <w:pPr>
              <w:kinsoku w:val="0"/>
              <w:overflowPunct w:val="0"/>
              <w:textAlignment w:val="baseline"/>
              <w:rPr>
                <w:rFonts w:eastAsiaTheme="minorEastAsia"/>
                <w:color w:val="1A261F"/>
                <w:spacing w:val="-5"/>
                <w:sz w:val="20"/>
                <w:szCs w:val="20"/>
              </w:rPr>
            </w:pPr>
            <w:r w:rsidRPr="005B2E50">
              <w:rPr>
                <w:rFonts w:eastAsiaTheme="minorEastAsia"/>
                <w:color w:val="1A261F"/>
                <w:spacing w:val="-5"/>
                <w:sz w:val="20"/>
                <w:szCs w:val="20"/>
              </w:rPr>
              <w:t>Technical; managerial</w:t>
            </w:r>
          </w:p>
          <w:p w14:paraId="77954C27" w14:textId="77777777" w:rsidR="0010370D" w:rsidRDefault="0010370D" w:rsidP="005B2E50">
            <w:pPr>
              <w:kinsoku w:val="0"/>
              <w:overflowPunct w:val="0"/>
              <w:textAlignment w:val="baseline"/>
              <w:rPr>
                <w:rFonts w:eastAsiaTheme="minorEastAsia"/>
                <w:color w:val="1A261F"/>
                <w:spacing w:val="-3"/>
                <w:sz w:val="20"/>
                <w:szCs w:val="20"/>
              </w:rPr>
            </w:pPr>
          </w:p>
          <w:p w14:paraId="55C393E2" w14:textId="782D2946" w:rsidR="005B2E50" w:rsidRPr="005B2E50" w:rsidRDefault="005B2E50" w:rsidP="005B2E50">
            <w:pPr>
              <w:kinsoku w:val="0"/>
              <w:overflowPunct w:val="0"/>
              <w:textAlignment w:val="baseline"/>
              <w:rPr>
                <w:rFonts w:eastAsiaTheme="minorEastAsia"/>
                <w:color w:val="1A261F"/>
                <w:spacing w:val="-3"/>
                <w:sz w:val="20"/>
                <w:szCs w:val="20"/>
              </w:rPr>
            </w:pPr>
            <w:r w:rsidRPr="005B2E50">
              <w:rPr>
                <w:rFonts w:eastAsiaTheme="minorEastAsia"/>
                <w:color w:val="1A261F"/>
                <w:spacing w:val="-3"/>
                <w:sz w:val="20"/>
                <w:szCs w:val="20"/>
              </w:rPr>
              <w:t>Unequal participant</w:t>
            </w:r>
          </w:p>
          <w:p w14:paraId="4BA6C736" w14:textId="77777777" w:rsidR="0010370D" w:rsidRDefault="0010370D" w:rsidP="005B2E50">
            <w:pPr>
              <w:kinsoku w:val="0"/>
              <w:overflowPunct w:val="0"/>
              <w:textAlignment w:val="baseline"/>
              <w:rPr>
                <w:rFonts w:eastAsiaTheme="minorEastAsia"/>
                <w:color w:val="1A261F"/>
                <w:spacing w:val="-2"/>
                <w:sz w:val="20"/>
                <w:szCs w:val="20"/>
              </w:rPr>
            </w:pPr>
          </w:p>
          <w:p w14:paraId="4B0D2A2E" w14:textId="60D44D4F" w:rsidR="005B2E50" w:rsidRPr="005B2E50" w:rsidRDefault="005B2E50" w:rsidP="005B2E50">
            <w:pPr>
              <w:kinsoku w:val="0"/>
              <w:overflowPunct w:val="0"/>
              <w:textAlignment w:val="baseline"/>
              <w:rPr>
                <w:rFonts w:eastAsiaTheme="minorEastAsia"/>
                <w:color w:val="1A261F"/>
                <w:spacing w:val="-2"/>
                <w:sz w:val="20"/>
                <w:szCs w:val="20"/>
              </w:rPr>
            </w:pPr>
            <w:r w:rsidRPr="005B2E50">
              <w:rPr>
                <w:rFonts w:eastAsiaTheme="minorEastAsia"/>
                <w:color w:val="1A261F"/>
                <w:spacing w:val="-2"/>
                <w:sz w:val="20"/>
                <w:szCs w:val="20"/>
              </w:rPr>
              <w:t>None</w:t>
            </w:r>
          </w:p>
          <w:p w14:paraId="778B214C" w14:textId="77777777" w:rsidR="0010370D" w:rsidRDefault="0010370D" w:rsidP="005B2E50">
            <w:pPr>
              <w:kinsoku w:val="0"/>
              <w:overflowPunct w:val="0"/>
              <w:textAlignment w:val="baseline"/>
              <w:rPr>
                <w:rFonts w:eastAsiaTheme="minorEastAsia"/>
                <w:color w:val="1A261F"/>
                <w:spacing w:val="-3"/>
                <w:sz w:val="20"/>
                <w:szCs w:val="20"/>
              </w:rPr>
            </w:pPr>
          </w:p>
          <w:p w14:paraId="531801D3" w14:textId="517B0567" w:rsidR="005B2E50" w:rsidRPr="005B2E50" w:rsidRDefault="005B2E50" w:rsidP="005B2E50">
            <w:pPr>
              <w:kinsoku w:val="0"/>
              <w:overflowPunct w:val="0"/>
              <w:textAlignment w:val="baseline"/>
              <w:rPr>
                <w:rFonts w:eastAsiaTheme="minorEastAsia"/>
                <w:color w:val="1A261F"/>
                <w:spacing w:val="-3"/>
                <w:sz w:val="20"/>
                <w:szCs w:val="20"/>
              </w:rPr>
            </w:pPr>
            <w:r w:rsidRPr="005B2E50">
              <w:rPr>
                <w:rFonts w:eastAsiaTheme="minorEastAsia"/>
                <w:color w:val="1A261F"/>
                <w:spacing w:val="-3"/>
                <w:sz w:val="20"/>
                <w:szCs w:val="20"/>
              </w:rPr>
              <w:t>Mistrust</w:t>
            </w:r>
          </w:p>
          <w:p w14:paraId="5B0AD0B2" w14:textId="77777777" w:rsidR="005B2E50" w:rsidRPr="005B2E50" w:rsidRDefault="005B2E50" w:rsidP="005B2E50">
            <w:pPr>
              <w:kinsoku w:val="0"/>
              <w:overflowPunct w:val="0"/>
              <w:textAlignment w:val="baseline"/>
              <w:rPr>
                <w:rFonts w:eastAsiaTheme="minorEastAsia"/>
                <w:color w:val="1A261F"/>
                <w:spacing w:val="-5"/>
                <w:sz w:val="20"/>
                <w:szCs w:val="20"/>
              </w:rPr>
            </w:pPr>
            <w:r w:rsidRPr="005B2E50">
              <w:rPr>
                <w:rFonts w:eastAsiaTheme="minorEastAsia"/>
                <w:color w:val="1A261F"/>
                <w:spacing w:val="-5"/>
                <w:sz w:val="20"/>
                <w:szCs w:val="20"/>
              </w:rPr>
              <w:t>Static, invisible, closed</w:t>
            </w:r>
          </w:p>
          <w:p w14:paraId="48F51CB9" w14:textId="77777777" w:rsidR="005B2E50" w:rsidRPr="005B2E50" w:rsidRDefault="005B2E50" w:rsidP="005B2E50">
            <w:pPr>
              <w:kinsoku w:val="0"/>
              <w:overflowPunct w:val="0"/>
              <w:textAlignment w:val="baseline"/>
              <w:rPr>
                <w:rFonts w:eastAsiaTheme="minorEastAsia"/>
                <w:color w:val="1A261F"/>
                <w:spacing w:val="-6"/>
                <w:sz w:val="20"/>
                <w:szCs w:val="20"/>
              </w:rPr>
            </w:pPr>
            <w:r w:rsidRPr="005B2E50">
              <w:rPr>
                <w:rFonts w:eastAsiaTheme="minorEastAsia"/>
                <w:color w:val="1A261F"/>
                <w:spacing w:val="-6"/>
                <w:sz w:val="20"/>
                <w:szCs w:val="20"/>
              </w:rPr>
              <w:t>Reactive</w:t>
            </w:r>
          </w:p>
          <w:p w14:paraId="7E5BB9CC" w14:textId="77777777" w:rsidR="005B2E50" w:rsidRPr="005B2E50" w:rsidRDefault="005B2E50" w:rsidP="005B2E50">
            <w:pPr>
              <w:kinsoku w:val="0"/>
              <w:overflowPunct w:val="0"/>
              <w:textAlignment w:val="baseline"/>
              <w:rPr>
                <w:rFonts w:eastAsiaTheme="minorEastAsia"/>
                <w:color w:val="1A261F"/>
                <w:spacing w:val="-5"/>
                <w:sz w:val="20"/>
                <w:szCs w:val="20"/>
              </w:rPr>
            </w:pPr>
            <w:r w:rsidRPr="005B2E50">
              <w:rPr>
                <w:rFonts w:eastAsiaTheme="minorEastAsia"/>
                <w:color w:val="1A261F"/>
                <w:spacing w:val="-5"/>
                <w:sz w:val="20"/>
                <w:szCs w:val="20"/>
              </w:rPr>
              <w:t>Buy-in</w:t>
            </w:r>
          </w:p>
          <w:p w14:paraId="1FF3CA16" w14:textId="77777777" w:rsidR="005B2E50" w:rsidRPr="005B2E50" w:rsidRDefault="005B2E50" w:rsidP="005B2E50">
            <w:pPr>
              <w:kinsoku w:val="0"/>
              <w:overflowPunct w:val="0"/>
              <w:textAlignment w:val="baseline"/>
              <w:rPr>
                <w:rFonts w:eastAsiaTheme="minorEastAsia"/>
                <w:color w:val="1A261F"/>
                <w:spacing w:val="-5"/>
                <w:sz w:val="20"/>
                <w:szCs w:val="20"/>
              </w:rPr>
            </w:pPr>
            <w:r w:rsidRPr="005B2E50">
              <w:rPr>
                <w:rFonts w:eastAsiaTheme="minorEastAsia"/>
                <w:color w:val="1A261F"/>
                <w:spacing w:val="-5"/>
                <w:sz w:val="20"/>
                <w:szCs w:val="20"/>
              </w:rPr>
              <w:t>Decision</w:t>
            </w:r>
          </w:p>
          <w:p w14:paraId="669C74F2" w14:textId="77777777" w:rsidR="005B2E50" w:rsidRPr="005B2E50" w:rsidRDefault="005B2E50" w:rsidP="005B2E50">
            <w:pPr>
              <w:kinsoku w:val="0"/>
              <w:overflowPunct w:val="0"/>
              <w:textAlignment w:val="baseline"/>
              <w:rPr>
                <w:rFonts w:eastAsiaTheme="minorEastAsia"/>
                <w:color w:val="1A261F"/>
                <w:spacing w:val="-4"/>
                <w:sz w:val="20"/>
                <w:szCs w:val="20"/>
              </w:rPr>
            </w:pPr>
            <w:r w:rsidRPr="005B2E50">
              <w:rPr>
                <w:rFonts w:eastAsiaTheme="minorEastAsia"/>
                <w:color w:val="1A261F"/>
                <w:spacing w:val="-5"/>
                <w:sz w:val="20"/>
                <w:szCs w:val="20"/>
              </w:rPr>
              <w:t xml:space="preserve">Appears shorter and easier but often </w:t>
            </w:r>
            <w:r w:rsidRPr="005B2E50">
              <w:rPr>
                <w:rFonts w:eastAsiaTheme="minorEastAsia"/>
                <w:color w:val="1A261F"/>
                <w:spacing w:val="-6"/>
                <w:sz w:val="20"/>
                <w:szCs w:val="20"/>
              </w:rPr>
              <w:t xml:space="preserve">involves going back and "redoing" based </w:t>
            </w:r>
            <w:r w:rsidRPr="005B2E50">
              <w:rPr>
                <w:rFonts w:eastAsiaTheme="minorEastAsia"/>
                <w:color w:val="1A261F"/>
                <w:spacing w:val="-4"/>
                <w:sz w:val="20"/>
                <w:szCs w:val="20"/>
              </w:rPr>
              <w:t>upon citizen reaction</w:t>
            </w:r>
          </w:p>
          <w:p w14:paraId="1B3F68A5" w14:textId="77777777" w:rsidR="005B2E50" w:rsidRPr="005B2E50" w:rsidRDefault="005B2E50" w:rsidP="005B2E50">
            <w:pPr>
              <w:kinsoku w:val="0"/>
              <w:overflowPunct w:val="0"/>
              <w:textAlignment w:val="baseline"/>
              <w:rPr>
                <w:rFonts w:eastAsiaTheme="minorEastAsia"/>
                <w:color w:val="1A261F"/>
                <w:spacing w:val="-4"/>
                <w:sz w:val="20"/>
                <w:szCs w:val="20"/>
              </w:rPr>
            </w:pPr>
          </w:p>
          <w:p w14:paraId="38C46144" w14:textId="77777777" w:rsidR="0010370D" w:rsidRDefault="0010370D" w:rsidP="005B2E50">
            <w:pPr>
              <w:kinsoku w:val="0"/>
              <w:overflowPunct w:val="0"/>
              <w:textAlignment w:val="baseline"/>
              <w:rPr>
                <w:rFonts w:eastAsiaTheme="minorEastAsia"/>
                <w:color w:val="1A261F"/>
                <w:sz w:val="20"/>
                <w:szCs w:val="20"/>
              </w:rPr>
            </w:pPr>
          </w:p>
          <w:p w14:paraId="6A9E37AA" w14:textId="4AD3C1F3" w:rsidR="005B2E50" w:rsidRPr="005B2E50" w:rsidRDefault="005B2E50" w:rsidP="005B2E50">
            <w:pPr>
              <w:kinsoku w:val="0"/>
              <w:overflowPunct w:val="0"/>
              <w:textAlignment w:val="baseline"/>
              <w:rPr>
                <w:rFonts w:eastAsiaTheme="minorEastAsia"/>
                <w:color w:val="1A261F"/>
                <w:sz w:val="20"/>
                <w:szCs w:val="20"/>
              </w:rPr>
            </w:pPr>
            <w:r w:rsidRPr="005B2E50">
              <w:rPr>
                <w:rFonts w:eastAsiaTheme="minorEastAsia"/>
                <w:color w:val="1A261F"/>
                <w:sz w:val="20"/>
                <w:szCs w:val="20"/>
              </w:rPr>
              <w:t>By administrator/political and/or administrative processes perhaps in consultation with citizens</w:t>
            </w:r>
          </w:p>
          <w:p w14:paraId="52CA57AA" w14:textId="77777777" w:rsidR="005B2E50" w:rsidRPr="005B2E50" w:rsidRDefault="005B2E50" w:rsidP="005B2E50">
            <w:pPr>
              <w:rPr>
                <w:rFonts w:eastAsiaTheme="minorEastAsia"/>
                <w:sz w:val="20"/>
                <w:szCs w:val="20"/>
              </w:rPr>
            </w:pPr>
          </w:p>
          <w:p w14:paraId="3791E59B" w14:textId="77777777" w:rsidR="005B2E50" w:rsidRPr="005B2E50" w:rsidRDefault="005B2E50" w:rsidP="005B2E50">
            <w:pPr>
              <w:rPr>
                <w:rFonts w:eastAsiaTheme="minorEastAsia"/>
                <w:sz w:val="20"/>
                <w:szCs w:val="20"/>
              </w:rPr>
            </w:pPr>
          </w:p>
        </w:tc>
        <w:tc>
          <w:tcPr>
            <w:tcW w:w="5778" w:type="dxa"/>
          </w:tcPr>
          <w:p w14:paraId="732244C5" w14:textId="77777777" w:rsidR="005B2E50" w:rsidRPr="005B2E50" w:rsidRDefault="005B2E50" w:rsidP="005B2E50">
            <w:pPr>
              <w:kinsoku w:val="0"/>
              <w:overflowPunct w:val="0"/>
              <w:textAlignment w:val="baseline"/>
              <w:rPr>
                <w:rFonts w:eastAsiaTheme="minorEastAsia"/>
                <w:b/>
                <w:color w:val="1A261F"/>
                <w:spacing w:val="-2"/>
                <w:sz w:val="20"/>
                <w:szCs w:val="20"/>
              </w:rPr>
            </w:pPr>
            <w:r w:rsidRPr="005B2E50">
              <w:rPr>
                <w:rFonts w:eastAsiaTheme="minorEastAsia"/>
                <w:b/>
                <w:color w:val="1A261F"/>
                <w:spacing w:val="-2"/>
                <w:sz w:val="20"/>
                <w:szCs w:val="20"/>
              </w:rPr>
              <w:lastRenderedPageBreak/>
              <w:t>Authentic Participation</w:t>
            </w:r>
          </w:p>
          <w:p w14:paraId="1D87B340" w14:textId="77777777" w:rsidR="005B2E50" w:rsidRDefault="005B2E50" w:rsidP="005B2E50">
            <w:pPr>
              <w:kinsoku w:val="0"/>
              <w:overflowPunct w:val="0"/>
              <w:textAlignment w:val="baseline"/>
              <w:rPr>
                <w:rFonts w:eastAsiaTheme="minorEastAsia"/>
                <w:color w:val="1A261F"/>
                <w:spacing w:val="-5"/>
                <w:sz w:val="20"/>
                <w:szCs w:val="20"/>
              </w:rPr>
            </w:pPr>
          </w:p>
          <w:p w14:paraId="04B53521" w14:textId="11E1C678" w:rsidR="005B2E50" w:rsidRPr="005B2E50" w:rsidRDefault="005B2E50" w:rsidP="005B2E50">
            <w:pPr>
              <w:kinsoku w:val="0"/>
              <w:overflowPunct w:val="0"/>
              <w:textAlignment w:val="baseline"/>
              <w:rPr>
                <w:rFonts w:eastAsiaTheme="minorEastAsia"/>
                <w:color w:val="1A261F"/>
                <w:spacing w:val="-5"/>
                <w:sz w:val="20"/>
                <w:szCs w:val="20"/>
              </w:rPr>
            </w:pPr>
            <w:r w:rsidRPr="005B2E50">
              <w:rPr>
                <w:rFonts w:eastAsiaTheme="minorEastAsia"/>
                <w:color w:val="1A261F"/>
                <w:spacing w:val="-5"/>
                <w:sz w:val="20"/>
                <w:szCs w:val="20"/>
              </w:rPr>
              <w:t>Collaborative</w:t>
            </w:r>
          </w:p>
          <w:p w14:paraId="36C3D455" w14:textId="77777777" w:rsidR="005B2E50" w:rsidRPr="005B2E50" w:rsidRDefault="005B2E50" w:rsidP="005B2E50">
            <w:pPr>
              <w:kinsoku w:val="0"/>
              <w:overflowPunct w:val="0"/>
              <w:textAlignment w:val="baseline"/>
              <w:rPr>
                <w:rFonts w:eastAsiaTheme="minorEastAsia"/>
                <w:color w:val="1A261F"/>
                <w:spacing w:val="-5"/>
                <w:sz w:val="20"/>
                <w:szCs w:val="20"/>
              </w:rPr>
            </w:pPr>
            <w:r w:rsidRPr="005B2E50">
              <w:rPr>
                <w:rFonts w:eastAsiaTheme="minorEastAsia"/>
                <w:color w:val="1A261F"/>
                <w:spacing w:val="-5"/>
                <w:sz w:val="20"/>
                <w:szCs w:val="20"/>
              </w:rPr>
              <w:t>Early; before anything is set</w:t>
            </w:r>
          </w:p>
          <w:p w14:paraId="4FCF9E09" w14:textId="77777777" w:rsidR="0010370D" w:rsidRDefault="0010370D" w:rsidP="005B2E50">
            <w:pPr>
              <w:kinsoku w:val="0"/>
              <w:overflowPunct w:val="0"/>
              <w:textAlignment w:val="baseline"/>
              <w:rPr>
                <w:rFonts w:eastAsiaTheme="minorEastAsia"/>
                <w:color w:val="1A261F"/>
                <w:spacing w:val="-5"/>
                <w:sz w:val="20"/>
                <w:szCs w:val="20"/>
              </w:rPr>
            </w:pPr>
          </w:p>
          <w:p w14:paraId="11B59434" w14:textId="52BDA0D3" w:rsidR="005B2E50" w:rsidRPr="005B2E50" w:rsidRDefault="005B2E50" w:rsidP="005B2E50">
            <w:pPr>
              <w:kinsoku w:val="0"/>
              <w:overflowPunct w:val="0"/>
              <w:textAlignment w:val="baseline"/>
              <w:rPr>
                <w:rFonts w:eastAsiaTheme="minorEastAsia"/>
                <w:color w:val="1A261F"/>
                <w:spacing w:val="-5"/>
                <w:sz w:val="20"/>
                <w:szCs w:val="20"/>
              </w:rPr>
            </w:pPr>
            <w:r w:rsidRPr="005B2E50">
              <w:rPr>
                <w:rFonts w:eastAsiaTheme="minorEastAsia"/>
                <w:color w:val="1A261F"/>
                <w:spacing w:val="-5"/>
                <w:sz w:val="20"/>
                <w:szCs w:val="20"/>
              </w:rPr>
              <w:t>Collaborative technician/governor</w:t>
            </w:r>
          </w:p>
          <w:p w14:paraId="586BA0BD" w14:textId="77777777" w:rsidR="0010370D" w:rsidRDefault="0010370D" w:rsidP="005B2E50">
            <w:pPr>
              <w:kinsoku w:val="0"/>
              <w:overflowPunct w:val="0"/>
              <w:textAlignment w:val="baseline"/>
              <w:rPr>
                <w:rFonts w:eastAsiaTheme="minorEastAsia"/>
                <w:color w:val="1A261F"/>
                <w:spacing w:val="-6"/>
                <w:sz w:val="20"/>
                <w:szCs w:val="20"/>
              </w:rPr>
            </w:pPr>
          </w:p>
          <w:p w14:paraId="7E0341C3" w14:textId="2046D525" w:rsidR="005B2E50" w:rsidRPr="005B2E50" w:rsidRDefault="005B2E50" w:rsidP="005B2E50">
            <w:pPr>
              <w:kinsoku w:val="0"/>
              <w:overflowPunct w:val="0"/>
              <w:textAlignment w:val="baseline"/>
              <w:rPr>
                <w:rFonts w:eastAsiaTheme="minorEastAsia"/>
                <w:color w:val="1A261F"/>
                <w:spacing w:val="-6"/>
                <w:sz w:val="20"/>
                <w:szCs w:val="20"/>
              </w:rPr>
            </w:pPr>
            <w:r w:rsidRPr="005B2E50">
              <w:rPr>
                <w:rFonts w:eastAsiaTheme="minorEastAsia"/>
                <w:color w:val="1A261F"/>
                <w:spacing w:val="-6"/>
                <w:sz w:val="20"/>
                <w:szCs w:val="20"/>
              </w:rPr>
              <w:t>Technical, interpersonal skills, discourse skills, facilitation skills</w:t>
            </w:r>
          </w:p>
          <w:p w14:paraId="5DFEE2DA" w14:textId="35975966" w:rsidR="005B2E50" w:rsidRPr="005B2E50" w:rsidRDefault="005B2E50" w:rsidP="005B2E50">
            <w:pPr>
              <w:kinsoku w:val="0"/>
              <w:overflowPunct w:val="0"/>
              <w:textAlignment w:val="baseline"/>
              <w:rPr>
                <w:rFonts w:eastAsiaTheme="minorEastAsia"/>
                <w:color w:val="1A261F"/>
                <w:spacing w:val="-4"/>
                <w:sz w:val="20"/>
                <w:szCs w:val="20"/>
              </w:rPr>
            </w:pPr>
            <w:r w:rsidRPr="005B2E50">
              <w:rPr>
                <w:rFonts w:eastAsiaTheme="minorEastAsia"/>
                <w:color w:val="1A261F"/>
                <w:spacing w:val="-4"/>
                <w:sz w:val="20"/>
                <w:szCs w:val="20"/>
              </w:rPr>
              <w:t>Equal partner</w:t>
            </w:r>
          </w:p>
          <w:p w14:paraId="0BBC58EE" w14:textId="77777777" w:rsidR="0010370D" w:rsidRDefault="0010370D" w:rsidP="005B2E50">
            <w:pPr>
              <w:kinsoku w:val="0"/>
              <w:overflowPunct w:val="0"/>
              <w:textAlignment w:val="baseline"/>
              <w:rPr>
                <w:rFonts w:eastAsiaTheme="minorEastAsia"/>
                <w:color w:val="1A261F"/>
                <w:spacing w:val="-5"/>
                <w:sz w:val="20"/>
                <w:szCs w:val="20"/>
              </w:rPr>
            </w:pPr>
          </w:p>
          <w:p w14:paraId="1651BFB5" w14:textId="58353197" w:rsidR="005B2E50" w:rsidRPr="005B2E50" w:rsidRDefault="005B2E50" w:rsidP="005B2E50">
            <w:pPr>
              <w:kinsoku w:val="0"/>
              <w:overflowPunct w:val="0"/>
              <w:textAlignment w:val="baseline"/>
              <w:rPr>
                <w:rFonts w:eastAsiaTheme="minorEastAsia"/>
                <w:color w:val="1A261F"/>
                <w:spacing w:val="-5"/>
                <w:sz w:val="20"/>
                <w:szCs w:val="20"/>
              </w:rPr>
            </w:pPr>
            <w:r w:rsidRPr="005B2E50">
              <w:rPr>
                <w:rFonts w:eastAsiaTheme="minorEastAsia"/>
                <w:color w:val="1A261F"/>
                <w:spacing w:val="-5"/>
                <w:sz w:val="20"/>
                <w:szCs w:val="20"/>
              </w:rPr>
              <w:t>Civics, participation skills, discourse skills</w:t>
            </w:r>
          </w:p>
          <w:p w14:paraId="5934358E" w14:textId="77777777" w:rsidR="005B2E50" w:rsidRPr="005B2E50" w:rsidRDefault="005B2E50" w:rsidP="005B2E50">
            <w:pPr>
              <w:kinsoku w:val="0"/>
              <w:overflowPunct w:val="0"/>
              <w:textAlignment w:val="baseline"/>
              <w:rPr>
                <w:rFonts w:eastAsiaTheme="minorEastAsia"/>
                <w:color w:val="1A261F"/>
                <w:sz w:val="20"/>
                <w:szCs w:val="20"/>
              </w:rPr>
            </w:pPr>
            <w:r w:rsidRPr="005B2E50">
              <w:rPr>
                <w:rFonts w:eastAsiaTheme="minorEastAsia"/>
                <w:color w:val="1A261F"/>
                <w:sz w:val="20"/>
                <w:szCs w:val="20"/>
              </w:rPr>
              <w:t>Trust</w:t>
            </w:r>
          </w:p>
          <w:p w14:paraId="42F76845" w14:textId="77777777" w:rsidR="005B2E50" w:rsidRPr="005B2E50" w:rsidRDefault="005B2E50" w:rsidP="005B2E50">
            <w:pPr>
              <w:kinsoku w:val="0"/>
              <w:overflowPunct w:val="0"/>
              <w:textAlignment w:val="baseline"/>
              <w:rPr>
                <w:rFonts w:eastAsiaTheme="minorEastAsia"/>
                <w:color w:val="1A261F"/>
                <w:spacing w:val="-5"/>
                <w:sz w:val="20"/>
                <w:szCs w:val="20"/>
              </w:rPr>
            </w:pPr>
            <w:r w:rsidRPr="005B2E50">
              <w:rPr>
                <w:rFonts w:eastAsiaTheme="minorEastAsia"/>
                <w:color w:val="1A261F"/>
                <w:spacing w:val="-5"/>
                <w:sz w:val="20"/>
                <w:szCs w:val="20"/>
              </w:rPr>
              <w:t>Dynamic, visible, open</w:t>
            </w:r>
          </w:p>
          <w:p w14:paraId="2867F72F" w14:textId="77777777" w:rsidR="005B2E50" w:rsidRPr="005B2E50" w:rsidRDefault="005B2E50" w:rsidP="005B2E50">
            <w:pPr>
              <w:kinsoku w:val="0"/>
              <w:overflowPunct w:val="0"/>
              <w:textAlignment w:val="baseline"/>
              <w:rPr>
                <w:rFonts w:eastAsiaTheme="minorEastAsia"/>
                <w:color w:val="1A261F"/>
                <w:spacing w:val="-5"/>
                <w:sz w:val="20"/>
                <w:szCs w:val="20"/>
              </w:rPr>
            </w:pPr>
            <w:r w:rsidRPr="005B2E50">
              <w:rPr>
                <w:rFonts w:eastAsiaTheme="minorEastAsia"/>
                <w:color w:val="1A261F"/>
                <w:spacing w:val="-5"/>
                <w:sz w:val="20"/>
                <w:szCs w:val="20"/>
              </w:rPr>
              <w:t>Proactive or reactive</w:t>
            </w:r>
          </w:p>
          <w:p w14:paraId="378290EE" w14:textId="77777777" w:rsidR="005B2E50" w:rsidRPr="005B2E50" w:rsidRDefault="005B2E50" w:rsidP="005B2E50">
            <w:pPr>
              <w:kinsoku w:val="0"/>
              <w:overflowPunct w:val="0"/>
              <w:textAlignment w:val="baseline"/>
              <w:rPr>
                <w:rFonts w:eastAsiaTheme="minorEastAsia"/>
                <w:color w:val="1A261F"/>
                <w:spacing w:val="-5"/>
                <w:sz w:val="20"/>
                <w:szCs w:val="20"/>
              </w:rPr>
            </w:pPr>
            <w:r w:rsidRPr="005B2E50">
              <w:rPr>
                <w:rFonts w:eastAsiaTheme="minorEastAsia"/>
                <w:color w:val="1A261F"/>
                <w:spacing w:val="-5"/>
                <w:sz w:val="20"/>
                <w:szCs w:val="20"/>
              </w:rPr>
              <w:t>Design</w:t>
            </w:r>
          </w:p>
          <w:p w14:paraId="26FEBF8C" w14:textId="77777777" w:rsidR="005B2E50" w:rsidRPr="005B2E50" w:rsidRDefault="005B2E50" w:rsidP="005B2E50">
            <w:pPr>
              <w:kinsoku w:val="0"/>
              <w:overflowPunct w:val="0"/>
              <w:textAlignment w:val="baseline"/>
              <w:rPr>
                <w:rFonts w:eastAsiaTheme="minorEastAsia"/>
                <w:color w:val="1A261F"/>
                <w:spacing w:val="-8"/>
                <w:sz w:val="20"/>
                <w:szCs w:val="20"/>
              </w:rPr>
            </w:pPr>
            <w:r w:rsidRPr="005B2E50">
              <w:rPr>
                <w:rFonts w:eastAsiaTheme="minorEastAsia"/>
                <w:color w:val="1A261F"/>
                <w:spacing w:val="-8"/>
                <w:sz w:val="20"/>
                <w:szCs w:val="20"/>
              </w:rPr>
              <w:t>Process</w:t>
            </w:r>
          </w:p>
          <w:p w14:paraId="16072378" w14:textId="77777777" w:rsidR="005B2E50" w:rsidRPr="005B2E50" w:rsidRDefault="005B2E50" w:rsidP="005B2E50">
            <w:pPr>
              <w:kinsoku w:val="0"/>
              <w:overflowPunct w:val="0"/>
              <w:textAlignment w:val="baseline"/>
              <w:rPr>
                <w:rFonts w:eastAsiaTheme="minorEastAsia"/>
                <w:color w:val="1A261F"/>
                <w:spacing w:val="-4"/>
                <w:sz w:val="20"/>
                <w:szCs w:val="20"/>
              </w:rPr>
            </w:pPr>
            <w:r w:rsidRPr="005B2E50">
              <w:rPr>
                <w:rFonts w:eastAsiaTheme="minorEastAsia"/>
                <w:color w:val="1A261F"/>
                <w:spacing w:val="-5"/>
                <w:sz w:val="20"/>
                <w:szCs w:val="20"/>
              </w:rPr>
              <w:t xml:space="preserve">Appears longer and more onerous but usually doesn't require redoing because citizens have </w:t>
            </w:r>
            <w:r w:rsidRPr="005B2E50">
              <w:rPr>
                <w:rFonts w:eastAsiaTheme="minorEastAsia"/>
                <w:color w:val="1A261F"/>
                <w:spacing w:val="-6"/>
                <w:sz w:val="20"/>
                <w:szCs w:val="20"/>
              </w:rPr>
              <w:t xml:space="preserve">been involved throughout; may take less time to reach decisions </w:t>
            </w:r>
            <w:r w:rsidRPr="005B2E50">
              <w:rPr>
                <w:rFonts w:eastAsiaTheme="minorEastAsia"/>
                <w:color w:val="1A261F"/>
                <w:spacing w:val="-4"/>
                <w:sz w:val="20"/>
                <w:szCs w:val="20"/>
              </w:rPr>
              <w:t>than through traditional processes</w:t>
            </w:r>
          </w:p>
          <w:p w14:paraId="2AE8829E" w14:textId="77777777" w:rsidR="005B2E50" w:rsidRPr="005B2E50" w:rsidRDefault="005B2E50" w:rsidP="005B2E50">
            <w:pPr>
              <w:kinsoku w:val="0"/>
              <w:overflowPunct w:val="0"/>
              <w:textAlignment w:val="baseline"/>
              <w:rPr>
                <w:rFonts w:eastAsiaTheme="minorEastAsia"/>
                <w:color w:val="1A261F"/>
                <w:spacing w:val="-4"/>
                <w:sz w:val="20"/>
                <w:szCs w:val="20"/>
              </w:rPr>
            </w:pPr>
            <w:r w:rsidRPr="005B2E50">
              <w:rPr>
                <w:rFonts w:eastAsiaTheme="minorEastAsia"/>
                <w:color w:val="1A261F"/>
                <w:spacing w:val="-6"/>
                <w:sz w:val="20"/>
                <w:szCs w:val="20"/>
              </w:rPr>
              <w:t xml:space="preserve">Emerges as a result of discourse; equal </w:t>
            </w:r>
            <w:r w:rsidRPr="005B2E50">
              <w:rPr>
                <w:rFonts w:eastAsiaTheme="minorEastAsia"/>
                <w:color w:val="1A261F"/>
                <w:spacing w:val="-3"/>
                <w:sz w:val="20"/>
                <w:szCs w:val="20"/>
              </w:rPr>
              <w:t xml:space="preserve">opportunity for all to enter the discourse and </w:t>
            </w:r>
            <w:r w:rsidRPr="005B2E50">
              <w:rPr>
                <w:rFonts w:eastAsiaTheme="minorEastAsia"/>
                <w:color w:val="1A261F"/>
                <w:spacing w:val="-4"/>
                <w:sz w:val="20"/>
                <w:szCs w:val="20"/>
              </w:rPr>
              <w:t>to influence the outcomes</w:t>
            </w:r>
          </w:p>
          <w:p w14:paraId="34E7C0F0" w14:textId="77777777" w:rsidR="005B2E50" w:rsidRPr="005B2E50" w:rsidRDefault="005B2E50" w:rsidP="005B2E50">
            <w:pPr>
              <w:rPr>
                <w:rFonts w:eastAsiaTheme="minorEastAsia"/>
                <w:sz w:val="20"/>
                <w:szCs w:val="20"/>
              </w:rPr>
            </w:pPr>
          </w:p>
          <w:p w14:paraId="39E1935A" w14:textId="77777777" w:rsidR="005B2E50" w:rsidRPr="005B2E50" w:rsidRDefault="005B2E50" w:rsidP="005B2E50">
            <w:pPr>
              <w:rPr>
                <w:rFonts w:eastAsiaTheme="minorEastAsia"/>
                <w:sz w:val="20"/>
                <w:szCs w:val="20"/>
              </w:rPr>
            </w:pPr>
          </w:p>
        </w:tc>
      </w:tr>
    </w:tbl>
    <w:p w14:paraId="69E630FB" w14:textId="77777777" w:rsidR="00191238" w:rsidRDefault="004A01F2" w:rsidP="0019123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p>
    <w:p w14:paraId="6D6F62E9" w14:textId="77777777" w:rsidR="00191238" w:rsidRDefault="00191238" w:rsidP="00191238">
      <w:pPr>
        <w:pStyle w:val="ListParagraph"/>
      </w:pPr>
    </w:p>
    <w:p w14:paraId="41842937" w14:textId="330E3153" w:rsidR="005F74DF" w:rsidRDefault="005F74DF" w:rsidP="005F7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Some elements of an Authentic citizen</w:t>
      </w:r>
      <w:r w:rsidR="00871E52">
        <w:rPr>
          <w:rFonts w:ascii="Times New Roman" w:hAnsi="Times New Roman" w:cs="Times New Roman"/>
          <w:sz w:val="24"/>
          <w:szCs w:val="24"/>
        </w:rPr>
        <w:t>-administrator</w:t>
      </w:r>
      <w:r>
        <w:rPr>
          <w:rFonts w:ascii="Times New Roman" w:hAnsi="Times New Roman" w:cs="Times New Roman"/>
          <w:sz w:val="24"/>
          <w:szCs w:val="24"/>
        </w:rPr>
        <w:t xml:space="preserve"> relationship have already begun to emerge with the use of Participatory Budgeting (PB). PB began in 1989 in Porto Alegre, Brazil. It is a process whereby local citizens are empowered by City staff and elected officials to determine how a specified amount of funds made available by the City will be spent in their neighborhood on uses that the citizens unilaterally determined. Various versions of this process have been implemented in over 3,000 cities around the world and </w:t>
      </w:r>
      <w:r w:rsidR="00476CB6">
        <w:rPr>
          <w:rFonts w:ascii="Times New Roman" w:hAnsi="Times New Roman" w:cs="Times New Roman"/>
          <w:sz w:val="24"/>
          <w:szCs w:val="24"/>
        </w:rPr>
        <w:t xml:space="preserve">since 2009 </w:t>
      </w:r>
      <w:r>
        <w:rPr>
          <w:rFonts w:ascii="Times New Roman" w:hAnsi="Times New Roman" w:cs="Times New Roman"/>
          <w:sz w:val="24"/>
          <w:szCs w:val="24"/>
        </w:rPr>
        <w:t>in 16 cities in the United States. The largest PB in the United States is in New York City where 30 council districts are doing PB. (9)</w:t>
      </w:r>
    </w:p>
    <w:p w14:paraId="062DEA77" w14:textId="77777777" w:rsidR="005F74DF" w:rsidRDefault="005F74DF" w:rsidP="005F74DF">
      <w:pPr>
        <w:spacing w:after="0" w:line="240" w:lineRule="auto"/>
        <w:jc w:val="both"/>
        <w:rPr>
          <w:rFonts w:ascii="Times New Roman" w:hAnsi="Times New Roman" w:cs="Times New Roman"/>
          <w:sz w:val="24"/>
          <w:szCs w:val="24"/>
        </w:rPr>
      </w:pPr>
    </w:p>
    <w:p w14:paraId="2A8895A6" w14:textId="77777777" w:rsidR="005F74DF" w:rsidRPr="00191238" w:rsidRDefault="005F74DF" w:rsidP="005F74D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Here is what complete Authentic Participation could look like in a typical local government budget process that follows a July 1 to June 30 budget cycle where programmatic outcomes contributing to citizen wellbeing are being sought:</w:t>
      </w:r>
    </w:p>
    <w:p w14:paraId="54E1C08B" w14:textId="77777777" w:rsidR="005F74DF" w:rsidRDefault="005F74DF" w:rsidP="005F74DF">
      <w:pPr>
        <w:spacing w:after="0" w:line="240" w:lineRule="auto"/>
        <w:jc w:val="both"/>
        <w:rPr>
          <w:rFonts w:ascii="Times New Roman" w:hAnsi="Times New Roman" w:cs="Times New Roman"/>
          <w:sz w:val="24"/>
          <w:szCs w:val="24"/>
        </w:rPr>
      </w:pPr>
    </w:p>
    <w:p w14:paraId="73A47A05" w14:textId="5A87A7DD" w:rsidR="005F74DF" w:rsidRDefault="005F74DF" w:rsidP="005F74DF">
      <w:pPr>
        <w:pStyle w:val="ListParagraph"/>
        <w:numPr>
          <w:ilvl w:val="0"/>
          <w:numId w:val="16"/>
        </w:numPr>
        <w:jc w:val="both"/>
      </w:pPr>
      <w:r>
        <w:t xml:space="preserve">Before the process of preparing a </w:t>
      </w:r>
      <w:r w:rsidR="00476CB6">
        <w:t xml:space="preserve">City </w:t>
      </w:r>
      <w:r>
        <w:t xml:space="preserve">budget for the coming budget cycle begins, </w:t>
      </w:r>
      <w:r w:rsidR="00977A05">
        <w:t xml:space="preserve">citizen </w:t>
      </w:r>
      <w:r>
        <w:t xml:space="preserve">stakeholders are coached in: how to read and understand the jurisdiction’s budget and wellbeing measures; the current programs being implemented by each department; </w:t>
      </w:r>
      <w:r w:rsidR="00476CB6">
        <w:t xml:space="preserve">other nongovernment programs throughout the City that are also seen as contributing to citizen wellbeing, </w:t>
      </w:r>
      <w:r>
        <w:t xml:space="preserve">applicable revenue sources; legal constraints and requirements of programs; how the city’s administrators will interact with </w:t>
      </w:r>
      <w:r w:rsidR="00977A05">
        <w:t>citizen stakeholders</w:t>
      </w:r>
      <w:r>
        <w:t xml:space="preserve"> and what is expected of </w:t>
      </w:r>
      <w:r w:rsidR="00B333C8">
        <w:t xml:space="preserve">citizen </w:t>
      </w:r>
      <w:r>
        <w:t>stakeholders.</w:t>
      </w:r>
    </w:p>
    <w:p w14:paraId="07EA16BE" w14:textId="77777777" w:rsidR="005F74DF" w:rsidRDefault="005F74DF" w:rsidP="005F74DF">
      <w:pPr>
        <w:pStyle w:val="ListParagraph"/>
        <w:jc w:val="both"/>
      </w:pPr>
    </w:p>
    <w:p w14:paraId="3A77337E" w14:textId="7CC5ED62" w:rsidR="005F74DF" w:rsidRDefault="005F74DF" w:rsidP="005F74DF">
      <w:pPr>
        <w:pStyle w:val="ListParagraph"/>
        <w:numPr>
          <w:ilvl w:val="0"/>
          <w:numId w:val="16"/>
        </w:numPr>
        <w:jc w:val="both"/>
      </w:pPr>
      <w:r>
        <w:t xml:space="preserve">During the Summer and early Fall of the fiscal year before the coming new budget cycle, </w:t>
      </w:r>
      <w:r w:rsidR="00476CB6">
        <w:t xml:space="preserve">City </w:t>
      </w:r>
      <w:r>
        <w:t>program departments intentionally interact with stakeholders</w:t>
      </w:r>
      <w:r w:rsidR="00476CB6">
        <w:t xml:space="preserve"> for all programs (City operated and non-City operated)</w:t>
      </w:r>
      <w:r>
        <w:t xml:space="preserve"> to help define what program modifications and/or new program resources or service levels may be needed for the coming new budget cycle;</w:t>
      </w:r>
    </w:p>
    <w:p w14:paraId="09FF32A8" w14:textId="77777777" w:rsidR="005F74DF" w:rsidRDefault="005F74DF" w:rsidP="005F74DF">
      <w:pPr>
        <w:pStyle w:val="ListParagraph"/>
      </w:pPr>
    </w:p>
    <w:p w14:paraId="7A38416D" w14:textId="1766EDE1" w:rsidR="005F74DF" w:rsidRPr="00BC7692" w:rsidRDefault="005F74DF" w:rsidP="005F74DF">
      <w:pPr>
        <w:pStyle w:val="ListParagraph"/>
        <w:numPr>
          <w:ilvl w:val="0"/>
          <w:numId w:val="16"/>
        </w:numPr>
        <w:jc w:val="both"/>
      </w:pPr>
      <w:r>
        <w:t xml:space="preserve">During the Fall, baseline projections of fiscal and wellbeing outlooks for the coming new budget cycle </w:t>
      </w:r>
      <w:r w:rsidR="00476CB6">
        <w:t xml:space="preserve">and additional out years </w:t>
      </w:r>
      <w:r>
        <w:t xml:space="preserve">are prepared (given projected economic and other </w:t>
      </w:r>
      <w:r w:rsidR="00B333C8">
        <w:t>n</w:t>
      </w:r>
      <w:r w:rsidR="00476CB6">
        <w:t>o</w:t>
      </w:r>
      <w:r w:rsidR="00B333C8">
        <w:t>n</w:t>
      </w:r>
      <w:r w:rsidR="00476CB6">
        <w:t xml:space="preserve">-economic </w:t>
      </w:r>
      <w:r>
        <w:t xml:space="preserve">factors) and presented to jurisdiction </w:t>
      </w:r>
      <w:r w:rsidR="00B333C8">
        <w:t xml:space="preserve">citizen </w:t>
      </w:r>
      <w:r>
        <w:t xml:space="preserve">stakeholders for discussion, and </w:t>
      </w:r>
      <w:r w:rsidR="00B333C8">
        <w:t xml:space="preserve">the crafting of </w:t>
      </w:r>
      <w:r>
        <w:t xml:space="preserve">possible budget scenarios for the new budget cycle are explored with </w:t>
      </w:r>
      <w:r w:rsidR="00B333C8">
        <w:t xml:space="preserve">citizen </w:t>
      </w:r>
      <w:r>
        <w:t xml:space="preserve">stakeholders in light of baseline projections. </w:t>
      </w:r>
    </w:p>
    <w:p w14:paraId="67E1E4C2" w14:textId="77777777" w:rsidR="005F74DF" w:rsidRDefault="005F74DF" w:rsidP="005F74DF">
      <w:pPr>
        <w:pStyle w:val="ListParagraph"/>
        <w:ind w:left="0"/>
        <w:jc w:val="both"/>
      </w:pPr>
    </w:p>
    <w:p w14:paraId="653281A9" w14:textId="08AA7288" w:rsidR="00191238" w:rsidRDefault="00191238" w:rsidP="00191238">
      <w:pPr>
        <w:pStyle w:val="ListParagraph"/>
        <w:numPr>
          <w:ilvl w:val="0"/>
          <w:numId w:val="16"/>
        </w:numPr>
        <w:jc w:val="both"/>
      </w:pPr>
      <w:r>
        <w:t xml:space="preserve">Once the </w:t>
      </w:r>
      <w:r w:rsidR="00476CB6">
        <w:t>City</w:t>
      </w:r>
      <w:r>
        <w:t xml:space="preserve"> governing body (e.g. City Council) sets a budget and wellbeing policy (</w:t>
      </w:r>
      <w:r w:rsidR="00B333C8">
        <w:t>e.g</w:t>
      </w:r>
      <w:r>
        <w:t xml:space="preserve">. an increase, no change or decrease) ---usually </w:t>
      </w:r>
      <w:r w:rsidR="00B333C8">
        <w:t xml:space="preserve">done </w:t>
      </w:r>
      <w:r>
        <w:t xml:space="preserve">during early January--- to guide preparation of the coming budget cycle budget proposal from city staff, program departments continue to work with </w:t>
      </w:r>
      <w:r w:rsidR="00476CB6">
        <w:t xml:space="preserve">all </w:t>
      </w:r>
      <w:r w:rsidR="00B333C8">
        <w:t xml:space="preserve">citizen </w:t>
      </w:r>
      <w:r>
        <w:t xml:space="preserve">stakeholders </w:t>
      </w:r>
      <w:r w:rsidR="00B333C8">
        <w:t>as part of</w:t>
      </w:r>
      <w:r>
        <w:t xml:space="preserve"> prepare their budget requests.</w:t>
      </w:r>
      <w:r w:rsidR="005D5C44">
        <w:t xml:space="preserve"> </w:t>
      </w:r>
    </w:p>
    <w:p w14:paraId="5DA5201C" w14:textId="77777777" w:rsidR="00191238" w:rsidRDefault="00191238" w:rsidP="00191238">
      <w:pPr>
        <w:pStyle w:val="ListParagraph"/>
      </w:pPr>
    </w:p>
    <w:p w14:paraId="22CDCBB5" w14:textId="25EB7174" w:rsidR="00191238" w:rsidRDefault="00191238" w:rsidP="00191238">
      <w:pPr>
        <w:pStyle w:val="ListParagraph"/>
        <w:numPr>
          <w:ilvl w:val="0"/>
          <w:numId w:val="16"/>
        </w:numPr>
        <w:jc w:val="both"/>
      </w:pPr>
      <w:r>
        <w:t xml:space="preserve">During </w:t>
      </w:r>
      <w:r w:rsidR="00B333C8">
        <w:t xml:space="preserve">the </w:t>
      </w:r>
      <w:r>
        <w:t xml:space="preserve">review of program department’s budget requests by the jurisdiction’s executive (Mayor or City Manager), appropriate </w:t>
      </w:r>
      <w:r w:rsidR="00B333C8">
        <w:t xml:space="preserve">citizen </w:t>
      </w:r>
      <w:r>
        <w:t xml:space="preserve">stakeholders </w:t>
      </w:r>
      <w:r w:rsidR="00262A21">
        <w:t xml:space="preserve">are also </w:t>
      </w:r>
      <w:r>
        <w:t>consulted.</w:t>
      </w:r>
    </w:p>
    <w:p w14:paraId="4C0CAA0E" w14:textId="77777777" w:rsidR="00191238" w:rsidRDefault="00191238" w:rsidP="00191238">
      <w:pPr>
        <w:pStyle w:val="ListParagraph"/>
      </w:pPr>
    </w:p>
    <w:p w14:paraId="1CE4C9FB" w14:textId="5770921E" w:rsidR="00191238" w:rsidRDefault="00191238" w:rsidP="00191238">
      <w:pPr>
        <w:pStyle w:val="ListParagraph"/>
        <w:numPr>
          <w:ilvl w:val="0"/>
          <w:numId w:val="16"/>
        </w:numPr>
        <w:jc w:val="both"/>
      </w:pPr>
      <w:r>
        <w:t xml:space="preserve">During the traditional annual budget adoption public hearing </w:t>
      </w:r>
      <w:r w:rsidR="00B333C8">
        <w:t xml:space="preserve">before the City Council </w:t>
      </w:r>
      <w:r>
        <w:t>(usually during June), stakeholders may testify but only for purposes of fine-tuning the staff proposed budget, rather than commenting on it for the first time.</w:t>
      </w:r>
    </w:p>
    <w:p w14:paraId="1025756F" w14:textId="77777777" w:rsidR="00191238" w:rsidRDefault="00191238" w:rsidP="00191238">
      <w:pPr>
        <w:pStyle w:val="ListParagraph"/>
      </w:pPr>
    </w:p>
    <w:p w14:paraId="0816CF3C" w14:textId="5A3FEB1A" w:rsidR="00191238" w:rsidRPr="00591A95" w:rsidRDefault="00191238" w:rsidP="00191238">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EC7DC5">
        <w:rPr>
          <w:rFonts w:ascii="Times New Roman" w:hAnsi="Times New Roman" w:cs="Times New Roman"/>
          <w:sz w:val="24"/>
          <w:szCs w:val="24"/>
        </w:rPr>
        <w:t>uthentic</w:t>
      </w:r>
      <w:r w:rsidRPr="009B3B34">
        <w:rPr>
          <w:rFonts w:ascii="Times New Roman" w:hAnsi="Times New Roman" w:cs="Times New Roman"/>
          <w:sz w:val="24"/>
          <w:szCs w:val="24"/>
        </w:rPr>
        <w:t xml:space="preserve"> citizen participati</w:t>
      </w:r>
      <w:r w:rsidR="00EC7DC5">
        <w:rPr>
          <w:rFonts w:ascii="Times New Roman" w:hAnsi="Times New Roman" w:cs="Times New Roman"/>
          <w:sz w:val="24"/>
          <w:szCs w:val="24"/>
        </w:rPr>
        <w:t>on</w:t>
      </w:r>
      <w:r w:rsidRPr="009B3B34">
        <w:rPr>
          <w:rFonts w:ascii="Times New Roman" w:hAnsi="Times New Roman" w:cs="Times New Roman"/>
          <w:sz w:val="24"/>
          <w:szCs w:val="24"/>
        </w:rPr>
        <w:t xml:space="preserve"> </w:t>
      </w:r>
      <w:r w:rsidR="009840A6">
        <w:rPr>
          <w:rFonts w:ascii="Times New Roman" w:hAnsi="Times New Roman" w:cs="Times New Roman"/>
          <w:sz w:val="24"/>
          <w:szCs w:val="24"/>
        </w:rPr>
        <w:t xml:space="preserve">also </w:t>
      </w:r>
      <w:r w:rsidRPr="009B3B34">
        <w:rPr>
          <w:rFonts w:ascii="Times New Roman" w:hAnsi="Times New Roman" w:cs="Times New Roman"/>
          <w:sz w:val="24"/>
          <w:szCs w:val="24"/>
        </w:rPr>
        <w:t xml:space="preserve">requires moving from merely making more information </w:t>
      </w:r>
      <w:r>
        <w:rPr>
          <w:rFonts w:ascii="Times New Roman" w:hAnsi="Times New Roman" w:cs="Times New Roman"/>
          <w:sz w:val="24"/>
          <w:szCs w:val="24"/>
        </w:rPr>
        <w:t>available and</w:t>
      </w:r>
      <w:r w:rsidRPr="009B3B34">
        <w:rPr>
          <w:rFonts w:ascii="Times New Roman" w:hAnsi="Times New Roman" w:cs="Times New Roman"/>
          <w:sz w:val="24"/>
          <w:szCs w:val="24"/>
        </w:rPr>
        <w:t xml:space="preserve"> </w:t>
      </w:r>
      <w:r>
        <w:rPr>
          <w:rFonts w:ascii="Times New Roman" w:hAnsi="Times New Roman" w:cs="Times New Roman"/>
          <w:sz w:val="24"/>
          <w:szCs w:val="24"/>
        </w:rPr>
        <w:t>accessible</w:t>
      </w:r>
      <w:r w:rsidRPr="009B3B34">
        <w:rPr>
          <w:rFonts w:ascii="Times New Roman" w:hAnsi="Times New Roman" w:cs="Times New Roman"/>
          <w:sz w:val="24"/>
          <w:szCs w:val="24"/>
        </w:rPr>
        <w:t xml:space="preserve"> to </w:t>
      </w:r>
      <w:r w:rsidR="00EC7DC5">
        <w:rPr>
          <w:rFonts w:ascii="Times New Roman" w:hAnsi="Times New Roman" w:cs="Times New Roman"/>
          <w:sz w:val="24"/>
          <w:szCs w:val="24"/>
        </w:rPr>
        <w:t xml:space="preserve">citizens to </w:t>
      </w:r>
      <w:r w:rsidRPr="009B3B34">
        <w:rPr>
          <w:rFonts w:ascii="Times New Roman" w:hAnsi="Times New Roman" w:cs="Times New Roman"/>
          <w:sz w:val="24"/>
          <w:szCs w:val="24"/>
        </w:rPr>
        <w:t>a two-way transparency</w:t>
      </w:r>
      <w:r>
        <w:rPr>
          <w:rFonts w:ascii="Times New Roman" w:hAnsi="Times New Roman" w:cs="Times New Roman"/>
          <w:sz w:val="24"/>
          <w:szCs w:val="24"/>
        </w:rPr>
        <w:t xml:space="preserve"> relationship</w:t>
      </w:r>
      <w:r w:rsidR="00EC7DC5">
        <w:rPr>
          <w:rFonts w:ascii="Times New Roman" w:hAnsi="Times New Roman" w:cs="Times New Roman"/>
          <w:sz w:val="24"/>
          <w:szCs w:val="24"/>
        </w:rPr>
        <w:t xml:space="preserve"> between the City and its citizens.</w:t>
      </w:r>
    </w:p>
    <w:p w14:paraId="6E18F534" w14:textId="77777777" w:rsidR="00191238" w:rsidRDefault="00191238" w:rsidP="00191238">
      <w:pPr>
        <w:spacing w:line="240" w:lineRule="auto"/>
        <w:jc w:val="both"/>
        <w:rPr>
          <w:rFonts w:ascii="Times New Roman" w:hAnsi="Times New Roman" w:cs="Times New Roman"/>
          <w:sz w:val="24"/>
          <w:szCs w:val="24"/>
          <w:u w:val="single"/>
        </w:rPr>
      </w:pPr>
      <w:r w:rsidRPr="0007206C">
        <w:rPr>
          <w:rFonts w:ascii="Times New Roman" w:hAnsi="Times New Roman" w:cs="Times New Roman"/>
          <w:sz w:val="24"/>
          <w:szCs w:val="24"/>
          <w:u w:val="single"/>
        </w:rPr>
        <w:t>Establishing Two-</w:t>
      </w:r>
      <w:r>
        <w:rPr>
          <w:rFonts w:ascii="Times New Roman" w:hAnsi="Times New Roman" w:cs="Times New Roman"/>
          <w:sz w:val="24"/>
          <w:szCs w:val="24"/>
          <w:u w:val="single"/>
        </w:rPr>
        <w:t>W</w:t>
      </w:r>
      <w:r w:rsidRPr="0007206C">
        <w:rPr>
          <w:rFonts w:ascii="Times New Roman" w:hAnsi="Times New Roman" w:cs="Times New Roman"/>
          <w:sz w:val="24"/>
          <w:szCs w:val="24"/>
          <w:u w:val="single"/>
        </w:rPr>
        <w:t>ay Transparency</w:t>
      </w:r>
    </w:p>
    <w:p w14:paraId="1FFE6BF1" w14:textId="0F3278B0" w:rsidR="00262A21" w:rsidRDefault="00191238" w:rsidP="001912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Considerable progress has been made over the last decade or so in providing </w:t>
      </w:r>
      <w:r w:rsidR="0048202F">
        <w:rPr>
          <w:rFonts w:ascii="Times New Roman" w:hAnsi="Times New Roman" w:cs="Times New Roman"/>
          <w:sz w:val="24"/>
          <w:szCs w:val="24"/>
        </w:rPr>
        <w:t xml:space="preserve">more </w:t>
      </w:r>
      <w:r>
        <w:rPr>
          <w:rFonts w:ascii="Times New Roman" w:hAnsi="Times New Roman" w:cs="Times New Roman"/>
          <w:sz w:val="24"/>
          <w:szCs w:val="24"/>
        </w:rPr>
        <w:t>one-way financial and budgetary transparency in the United States, essentially at the local and state levels.  Examples of one-way transparency are making complete budget documents and financial reports available to citizens online. In some cases, citizen</w:t>
      </w:r>
      <w:r w:rsidR="0048202F">
        <w:rPr>
          <w:rFonts w:ascii="Times New Roman" w:hAnsi="Times New Roman" w:cs="Times New Roman"/>
          <w:sz w:val="24"/>
          <w:szCs w:val="24"/>
        </w:rPr>
        <w:t>s</w:t>
      </w:r>
      <w:r>
        <w:rPr>
          <w:rFonts w:ascii="Times New Roman" w:hAnsi="Times New Roman" w:cs="Times New Roman"/>
          <w:sz w:val="24"/>
          <w:szCs w:val="24"/>
        </w:rPr>
        <w:t xml:space="preserve"> can even drill down to specific financial transactions, and can create graphical representations of </w:t>
      </w:r>
      <w:r w:rsidR="0048202F">
        <w:rPr>
          <w:rFonts w:ascii="Times New Roman" w:hAnsi="Times New Roman" w:cs="Times New Roman"/>
          <w:sz w:val="24"/>
          <w:szCs w:val="24"/>
        </w:rPr>
        <w:t xml:space="preserve">financial and </w:t>
      </w:r>
      <w:r>
        <w:rPr>
          <w:rFonts w:ascii="Times New Roman" w:hAnsi="Times New Roman" w:cs="Times New Roman"/>
          <w:sz w:val="24"/>
          <w:szCs w:val="24"/>
        </w:rPr>
        <w:t xml:space="preserve">budgetary information. However, jurisdictions </w:t>
      </w:r>
      <w:r w:rsidR="007269B0">
        <w:rPr>
          <w:rFonts w:ascii="Times New Roman" w:hAnsi="Times New Roman" w:cs="Times New Roman"/>
          <w:sz w:val="24"/>
          <w:szCs w:val="24"/>
        </w:rPr>
        <w:t xml:space="preserve">usually </w:t>
      </w:r>
      <w:r>
        <w:rPr>
          <w:rFonts w:ascii="Times New Roman" w:hAnsi="Times New Roman" w:cs="Times New Roman"/>
          <w:sz w:val="24"/>
          <w:szCs w:val="24"/>
        </w:rPr>
        <w:t xml:space="preserve">do not coach citizens in what the information means or how to relate the information to policy matters. So, even though </w:t>
      </w:r>
      <w:r w:rsidR="0048202F">
        <w:rPr>
          <w:rFonts w:ascii="Times New Roman" w:hAnsi="Times New Roman" w:cs="Times New Roman"/>
          <w:sz w:val="24"/>
          <w:szCs w:val="24"/>
        </w:rPr>
        <w:t>more</w:t>
      </w:r>
      <w:r>
        <w:rPr>
          <w:rFonts w:ascii="Times New Roman" w:hAnsi="Times New Roman" w:cs="Times New Roman"/>
          <w:sz w:val="24"/>
          <w:szCs w:val="24"/>
        </w:rPr>
        <w:t xml:space="preserve"> information is available</w:t>
      </w:r>
      <w:r w:rsidR="00EC7DC5">
        <w:rPr>
          <w:rFonts w:ascii="Times New Roman" w:hAnsi="Times New Roman" w:cs="Times New Roman"/>
          <w:sz w:val="24"/>
          <w:szCs w:val="24"/>
        </w:rPr>
        <w:t>,</w:t>
      </w:r>
      <w:r>
        <w:rPr>
          <w:rFonts w:ascii="Times New Roman" w:hAnsi="Times New Roman" w:cs="Times New Roman"/>
          <w:sz w:val="24"/>
          <w:szCs w:val="24"/>
        </w:rPr>
        <w:t xml:space="preserve"> citizens are at a considerable disadvantage in being able to understand or use it effectively. In short, this type of</w:t>
      </w:r>
      <w:r w:rsidR="007269B0">
        <w:rPr>
          <w:rFonts w:ascii="Times New Roman" w:hAnsi="Times New Roman" w:cs="Times New Roman"/>
          <w:sz w:val="24"/>
          <w:szCs w:val="24"/>
        </w:rPr>
        <w:t xml:space="preserve"> one-way transparency</w:t>
      </w:r>
      <w:r>
        <w:rPr>
          <w:rFonts w:ascii="Times New Roman" w:hAnsi="Times New Roman" w:cs="Times New Roman"/>
          <w:sz w:val="24"/>
          <w:szCs w:val="24"/>
        </w:rPr>
        <w:t xml:space="preserve"> does not alter basic power asymmetries. Citizens may see the results of governmental actions, but they cannot see and understand exactly what </w:t>
      </w:r>
      <w:r w:rsidR="007269B0">
        <w:rPr>
          <w:rFonts w:ascii="Times New Roman" w:hAnsi="Times New Roman" w:cs="Times New Roman"/>
          <w:sz w:val="24"/>
          <w:szCs w:val="24"/>
        </w:rPr>
        <w:t>has happened</w:t>
      </w:r>
      <w:r>
        <w:rPr>
          <w:rFonts w:ascii="Times New Roman" w:hAnsi="Times New Roman" w:cs="Times New Roman"/>
          <w:sz w:val="24"/>
          <w:szCs w:val="24"/>
        </w:rPr>
        <w:t xml:space="preserve"> and how </w:t>
      </w:r>
      <w:r w:rsidR="007269B0">
        <w:rPr>
          <w:rFonts w:ascii="Times New Roman" w:hAnsi="Times New Roman" w:cs="Times New Roman"/>
          <w:sz w:val="24"/>
          <w:szCs w:val="24"/>
        </w:rPr>
        <w:t>it happened.</w:t>
      </w:r>
    </w:p>
    <w:p w14:paraId="4E83C5E0" w14:textId="74A2A143" w:rsidR="00191238" w:rsidRDefault="00191238" w:rsidP="001912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7DC5">
        <w:rPr>
          <w:rFonts w:ascii="Times New Roman" w:hAnsi="Times New Roman" w:cs="Times New Roman"/>
          <w:sz w:val="24"/>
          <w:szCs w:val="24"/>
        </w:rPr>
        <w:t xml:space="preserve">In some jurisdictions, citizen groups and/or non-profit organizations have taken up the </w:t>
      </w:r>
      <w:r w:rsidR="0048202F">
        <w:rPr>
          <w:rFonts w:ascii="Times New Roman" w:hAnsi="Times New Roman" w:cs="Times New Roman"/>
          <w:sz w:val="24"/>
          <w:szCs w:val="24"/>
        </w:rPr>
        <w:t>mantel to overcome this transparency</w:t>
      </w:r>
      <w:r w:rsidR="00EC7DC5">
        <w:rPr>
          <w:rFonts w:ascii="Times New Roman" w:hAnsi="Times New Roman" w:cs="Times New Roman"/>
          <w:sz w:val="24"/>
          <w:szCs w:val="24"/>
        </w:rPr>
        <w:t xml:space="preserve"> gap </w:t>
      </w:r>
      <w:r w:rsidR="0048202F">
        <w:rPr>
          <w:rFonts w:ascii="Times New Roman" w:hAnsi="Times New Roman" w:cs="Times New Roman"/>
          <w:sz w:val="24"/>
          <w:szCs w:val="24"/>
        </w:rPr>
        <w:t>by</w:t>
      </w:r>
      <w:r w:rsidR="00EC7DC5">
        <w:rPr>
          <w:rFonts w:ascii="Times New Roman" w:hAnsi="Times New Roman" w:cs="Times New Roman"/>
          <w:sz w:val="24"/>
          <w:szCs w:val="24"/>
        </w:rPr>
        <w:t xml:space="preserve"> provid</w:t>
      </w:r>
      <w:r w:rsidR="0048202F">
        <w:rPr>
          <w:rFonts w:ascii="Times New Roman" w:hAnsi="Times New Roman" w:cs="Times New Roman"/>
          <w:sz w:val="24"/>
          <w:szCs w:val="24"/>
        </w:rPr>
        <w:t>ing financial and</w:t>
      </w:r>
      <w:r w:rsidR="00EC7DC5">
        <w:rPr>
          <w:rFonts w:ascii="Times New Roman" w:hAnsi="Times New Roman" w:cs="Times New Roman"/>
          <w:sz w:val="24"/>
          <w:szCs w:val="24"/>
        </w:rPr>
        <w:t xml:space="preserve"> budget intermediation services to </w:t>
      </w:r>
      <w:r w:rsidR="00262A21">
        <w:rPr>
          <w:rFonts w:ascii="Times New Roman" w:hAnsi="Times New Roman" w:cs="Times New Roman"/>
          <w:sz w:val="24"/>
          <w:szCs w:val="24"/>
        </w:rPr>
        <w:t>citizens. However, very often these budget intermediation providers</w:t>
      </w:r>
      <w:r w:rsidR="0048202F">
        <w:rPr>
          <w:rFonts w:ascii="Times New Roman" w:hAnsi="Times New Roman" w:cs="Times New Roman"/>
          <w:sz w:val="24"/>
          <w:szCs w:val="24"/>
        </w:rPr>
        <w:t xml:space="preserve">, themselves, </w:t>
      </w:r>
      <w:r w:rsidR="00262A21">
        <w:rPr>
          <w:rFonts w:ascii="Times New Roman" w:hAnsi="Times New Roman" w:cs="Times New Roman"/>
          <w:sz w:val="24"/>
          <w:szCs w:val="24"/>
        </w:rPr>
        <w:t xml:space="preserve">face the same information and understanding constraints as </w:t>
      </w:r>
      <w:r w:rsidR="00B333C8">
        <w:rPr>
          <w:rFonts w:ascii="Times New Roman" w:hAnsi="Times New Roman" w:cs="Times New Roman"/>
          <w:sz w:val="24"/>
          <w:szCs w:val="24"/>
        </w:rPr>
        <w:t xml:space="preserve">experienced by </w:t>
      </w:r>
      <w:r w:rsidR="00262A21">
        <w:rPr>
          <w:rFonts w:ascii="Times New Roman" w:hAnsi="Times New Roman" w:cs="Times New Roman"/>
          <w:sz w:val="24"/>
          <w:szCs w:val="24"/>
        </w:rPr>
        <w:t>the citizens they seek to serve. (</w:t>
      </w:r>
      <w:r w:rsidR="00B109E8">
        <w:rPr>
          <w:rFonts w:ascii="Times New Roman" w:hAnsi="Times New Roman" w:cs="Times New Roman"/>
          <w:sz w:val="24"/>
          <w:szCs w:val="24"/>
        </w:rPr>
        <w:t>10</w:t>
      </w:r>
      <w:r w:rsidR="00262A21">
        <w:rPr>
          <w:rFonts w:ascii="Times New Roman" w:hAnsi="Times New Roman" w:cs="Times New Roman"/>
          <w:sz w:val="24"/>
          <w:szCs w:val="24"/>
        </w:rPr>
        <w:t>)</w:t>
      </w:r>
    </w:p>
    <w:p w14:paraId="46112ECB" w14:textId="6FB22A4F" w:rsidR="00191238" w:rsidRDefault="00191238" w:rsidP="001912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Opening the “information window” wider so that citizens can not only have access to </w:t>
      </w:r>
      <w:r w:rsidR="0048202F">
        <w:rPr>
          <w:rFonts w:ascii="Times New Roman" w:hAnsi="Times New Roman" w:cs="Times New Roman"/>
          <w:sz w:val="24"/>
          <w:szCs w:val="24"/>
        </w:rPr>
        <w:t xml:space="preserve">more </w:t>
      </w:r>
      <w:r>
        <w:rPr>
          <w:rFonts w:ascii="Times New Roman" w:hAnsi="Times New Roman" w:cs="Times New Roman"/>
          <w:sz w:val="24"/>
          <w:szCs w:val="24"/>
        </w:rPr>
        <w:t>information, but can also understand it</w:t>
      </w:r>
      <w:r w:rsidR="0048202F">
        <w:rPr>
          <w:rFonts w:ascii="Times New Roman" w:hAnsi="Times New Roman" w:cs="Times New Roman"/>
          <w:sz w:val="24"/>
          <w:szCs w:val="24"/>
        </w:rPr>
        <w:t>,</w:t>
      </w:r>
      <w:r>
        <w:rPr>
          <w:rFonts w:ascii="Times New Roman" w:hAnsi="Times New Roman" w:cs="Times New Roman"/>
          <w:sz w:val="24"/>
          <w:szCs w:val="24"/>
        </w:rPr>
        <w:t xml:space="preserve"> use it and even be able to monitor what is being done and how it is being done would move us closer but not all the way to two-way transparency. Two-way transparency involves altering power relationships so that neither citizens nor governmental staff can unilaterally determine </w:t>
      </w:r>
      <w:r w:rsidR="007269B0">
        <w:rPr>
          <w:rFonts w:ascii="Times New Roman" w:hAnsi="Times New Roman" w:cs="Times New Roman"/>
          <w:sz w:val="24"/>
          <w:szCs w:val="24"/>
        </w:rPr>
        <w:t xml:space="preserve">important </w:t>
      </w:r>
      <w:r>
        <w:rPr>
          <w:rFonts w:ascii="Times New Roman" w:hAnsi="Times New Roman" w:cs="Times New Roman"/>
          <w:sz w:val="24"/>
          <w:szCs w:val="24"/>
        </w:rPr>
        <w:t xml:space="preserve">policy outcomes on matters that directly impact citizens wellbeing. (World </w:t>
      </w:r>
      <w:r w:rsidR="0048202F">
        <w:rPr>
          <w:rFonts w:ascii="Times New Roman" w:hAnsi="Times New Roman" w:cs="Times New Roman"/>
          <w:sz w:val="24"/>
          <w:szCs w:val="24"/>
        </w:rPr>
        <w:t>B</w:t>
      </w:r>
      <w:r>
        <w:rPr>
          <w:rFonts w:ascii="Times New Roman" w:hAnsi="Times New Roman" w:cs="Times New Roman"/>
          <w:sz w:val="24"/>
          <w:szCs w:val="24"/>
        </w:rPr>
        <w:t xml:space="preserve">ank, 2017) </w:t>
      </w:r>
      <w:r w:rsidR="0048202F">
        <w:rPr>
          <w:rFonts w:ascii="Times New Roman" w:hAnsi="Times New Roman" w:cs="Times New Roman"/>
          <w:sz w:val="24"/>
          <w:szCs w:val="24"/>
        </w:rPr>
        <w:t xml:space="preserve">(11) </w:t>
      </w:r>
      <w:r w:rsidR="007269B0">
        <w:rPr>
          <w:rFonts w:ascii="Times New Roman" w:hAnsi="Times New Roman" w:cs="Times New Roman"/>
          <w:sz w:val="24"/>
          <w:szCs w:val="24"/>
        </w:rPr>
        <w:t>Empowering citizens in this matter, moves the transparency relationship from</w:t>
      </w:r>
      <w:r>
        <w:rPr>
          <w:rFonts w:ascii="Times New Roman" w:hAnsi="Times New Roman" w:cs="Times New Roman"/>
          <w:sz w:val="24"/>
          <w:szCs w:val="24"/>
        </w:rPr>
        <w:t xml:space="preserve"> informing </w:t>
      </w:r>
      <w:r w:rsidR="001E4D84">
        <w:rPr>
          <w:rFonts w:ascii="Times New Roman" w:hAnsi="Times New Roman" w:cs="Times New Roman"/>
          <w:sz w:val="24"/>
          <w:szCs w:val="24"/>
        </w:rPr>
        <w:t xml:space="preserve">citizens </w:t>
      </w:r>
      <w:r>
        <w:rPr>
          <w:rFonts w:ascii="Times New Roman" w:hAnsi="Times New Roman" w:cs="Times New Roman"/>
          <w:sz w:val="24"/>
          <w:szCs w:val="24"/>
        </w:rPr>
        <w:t>to collaborating, partnering and joint learning</w:t>
      </w:r>
      <w:r w:rsidR="001E4D84">
        <w:rPr>
          <w:rFonts w:ascii="Times New Roman" w:hAnsi="Times New Roman" w:cs="Times New Roman"/>
          <w:sz w:val="24"/>
          <w:szCs w:val="24"/>
        </w:rPr>
        <w:t xml:space="preserve"> with citizens</w:t>
      </w:r>
      <w:r>
        <w:rPr>
          <w:rFonts w:ascii="Times New Roman" w:hAnsi="Times New Roman" w:cs="Times New Roman"/>
          <w:sz w:val="24"/>
          <w:szCs w:val="24"/>
        </w:rPr>
        <w:t xml:space="preserve">. </w:t>
      </w:r>
      <w:r w:rsidR="001E4D84">
        <w:rPr>
          <w:rFonts w:ascii="Times New Roman" w:hAnsi="Times New Roman" w:cs="Times New Roman"/>
          <w:sz w:val="24"/>
          <w:szCs w:val="24"/>
        </w:rPr>
        <w:t>An empowering transparency relationship creates</w:t>
      </w:r>
      <w:r>
        <w:rPr>
          <w:rFonts w:ascii="Times New Roman" w:hAnsi="Times New Roman" w:cs="Times New Roman"/>
          <w:sz w:val="24"/>
          <w:szCs w:val="24"/>
        </w:rPr>
        <w:t xml:space="preserve"> the context for </w:t>
      </w:r>
      <w:r w:rsidR="00C1272B">
        <w:rPr>
          <w:rFonts w:ascii="Times New Roman" w:hAnsi="Times New Roman" w:cs="Times New Roman"/>
          <w:sz w:val="24"/>
          <w:szCs w:val="24"/>
        </w:rPr>
        <w:t>increasing trust</w:t>
      </w:r>
      <w:r>
        <w:rPr>
          <w:rFonts w:ascii="Times New Roman" w:hAnsi="Times New Roman" w:cs="Times New Roman"/>
          <w:sz w:val="24"/>
          <w:szCs w:val="24"/>
        </w:rPr>
        <w:t>, confidence and joint ownership of program outcomes</w:t>
      </w:r>
      <w:r w:rsidR="001E4D84">
        <w:rPr>
          <w:rFonts w:ascii="Times New Roman" w:hAnsi="Times New Roman" w:cs="Times New Roman"/>
          <w:sz w:val="24"/>
          <w:szCs w:val="24"/>
        </w:rPr>
        <w:t xml:space="preserve"> to arise. </w:t>
      </w:r>
      <w:r>
        <w:rPr>
          <w:rFonts w:ascii="Times New Roman" w:hAnsi="Times New Roman" w:cs="Times New Roman"/>
          <w:sz w:val="24"/>
          <w:szCs w:val="24"/>
        </w:rPr>
        <w:t>(Meijer, 2013)</w:t>
      </w:r>
      <w:r w:rsidR="005D5C44">
        <w:rPr>
          <w:rFonts w:ascii="Times New Roman" w:hAnsi="Times New Roman" w:cs="Times New Roman"/>
          <w:sz w:val="24"/>
          <w:szCs w:val="24"/>
        </w:rPr>
        <w:t xml:space="preserve"> </w:t>
      </w:r>
    </w:p>
    <w:p w14:paraId="34E60D30" w14:textId="3FA45D34" w:rsidR="00191238" w:rsidRDefault="00191238" w:rsidP="001912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Here is what two-way </w:t>
      </w:r>
      <w:r w:rsidR="001E4D84">
        <w:rPr>
          <w:rFonts w:ascii="Times New Roman" w:hAnsi="Times New Roman" w:cs="Times New Roman"/>
          <w:sz w:val="24"/>
          <w:szCs w:val="24"/>
        </w:rPr>
        <w:t xml:space="preserve">citizen empowering </w:t>
      </w:r>
      <w:r>
        <w:rPr>
          <w:rFonts w:ascii="Times New Roman" w:hAnsi="Times New Roman" w:cs="Times New Roman"/>
          <w:sz w:val="24"/>
          <w:szCs w:val="24"/>
        </w:rPr>
        <w:t>transparency could look like in a typical local government budget process that follows a July 1 to June 30 budget cycle where program outcomes that contribute to citizen wellbeing are being sought:</w:t>
      </w:r>
    </w:p>
    <w:p w14:paraId="7894A94D" w14:textId="77D0D60E" w:rsidR="00191238" w:rsidRDefault="00191238" w:rsidP="00191238">
      <w:pPr>
        <w:pStyle w:val="ListParagraph"/>
        <w:numPr>
          <w:ilvl w:val="0"/>
          <w:numId w:val="19"/>
        </w:numPr>
        <w:jc w:val="both"/>
      </w:pPr>
      <w:r>
        <w:t xml:space="preserve">The local government has completed a strategic planning process. The process has extensively involved its citizens in identifying where social, economic and political trends seem to be taking the city into the future, what the citizens want the city to </w:t>
      </w:r>
      <w:r w:rsidR="00D55C3A">
        <w:t>look like</w:t>
      </w:r>
      <w:r>
        <w:t xml:space="preserve"> in the future, and what role city government is to take in creating</w:t>
      </w:r>
      <w:r w:rsidR="00D55C3A">
        <w:t>/helping to create</w:t>
      </w:r>
      <w:r>
        <w:t xml:space="preserve"> the desired vision of the future city. </w:t>
      </w:r>
      <w:r w:rsidR="00B333C8">
        <w:t>The strategic planning process</w:t>
      </w:r>
      <w:r w:rsidR="0047701B">
        <w:t xml:space="preserve"> would  acknowledged that the role of the City would not only be to provide governmental goods and services, but to also partner with other non-government efforts in isonomic and phenonomic-type settings throughout the city</w:t>
      </w:r>
      <w:r w:rsidR="00B333C8">
        <w:t xml:space="preserve"> to achieve the strategic wellbeing goals of the City.</w:t>
      </w:r>
    </w:p>
    <w:p w14:paraId="360F8C99" w14:textId="77777777" w:rsidR="001E4D84" w:rsidRDefault="001E4D84" w:rsidP="001E4D84">
      <w:pPr>
        <w:pStyle w:val="ListParagraph"/>
        <w:jc w:val="both"/>
      </w:pPr>
    </w:p>
    <w:p w14:paraId="5EE536C2" w14:textId="7930F480" w:rsidR="00BC7692" w:rsidRDefault="00191238" w:rsidP="00BC7692">
      <w:pPr>
        <w:pStyle w:val="ListParagraph"/>
        <w:numPr>
          <w:ilvl w:val="0"/>
          <w:numId w:val="19"/>
        </w:numPr>
        <w:jc w:val="both"/>
      </w:pPr>
      <w:r>
        <w:lastRenderedPageBreak/>
        <w:t>As part of its strategic planning, citizens and city staff have jointly identified the key wellbeing factors and indicators that are to be used to evaluate if program outcomes are actually creating the desired vision of the future city. Citizens participate in developing indicator monitoring systems, and in revising those monitoring systems as necessary over time.</w:t>
      </w:r>
    </w:p>
    <w:p w14:paraId="7B0A8D8C" w14:textId="77777777" w:rsidR="00BC7692" w:rsidRDefault="00BC7692" w:rsidP="00BC7692">
      <w:pPr>
        <w:pStyle w:val="ListParagraph"/>
        <w:jc w:val="both"/>
      </w:pPr>
    </w:p>
    <w:p w14:paraId="187F2B22" w14:textId="63EE71CB" w:rsidR="00191238" w:rsidRDefault="00191238" w:rsidP="00BC7692">
      <w:pPr>
        <w:pStyle w:val="ListParagraph"/>
        <w:numPr>
          <w:ilvl w:val="0"/>
          <w:numId w:val="19"/>
        </w:numPr>
        <w:jc w:val="both"/>
      </w:pPr>
      <w:r>
        <w:t>There is an on-going process, potentially providing the opportunity for every citizen, to continually a</w:t>
      </w:r>
      <w:r w:rsidR="00C1272B">
        <w:t>ss</w:t>
      </w:r>
      <w:r>
        <w:t>ess the relevance of wellbeing factors and indicators to their lives.</w:t>
      </w:r>
    </w:p>
    <w:p w14:paraId="4D906278" w14:textId="77777777" w:rsidR="001E4D84" w:rsidRDefault="001E4D84" w:rsidP="00BC7692">
      <w:pPr>
        <w:pStyle w:val="ListParagraph"/>
        <w:jc w:val="both"/>
      </w:pPr>
    </w:p>
    <w:p w14:paraId="4B81F47A" w14:textId="1CF99397" w:rsidR="00191238" w:rsidRDefault="00191238" w:rsidP="00191238">
      <w:pPr>
        <w:pStyle w:val="ListParagraph"/>
        <w:numPr>
          <w:ilvl w:val="0"/>
          <w:numId w:val="19"/>
        </w:numPr>
        <w:jc w:val="both"/>
      </w:pPr>
      <w:r>
        <w:t xml:space="preserve">Citizens have on-going access to participating in the development of budgets and </w:t>
      </w:r>
      <w:r w:rsidR="00C1272B">
        <w:t>the programs</w:t>
      </w:r>
      <w:r>
        <w:t xml:space="preserve"> that result in resources being allocated to achieve specific wellbeing-related outcomes.</w:t>
      </w:r>
    </w:p>
    <w:p w14:paraId="1658CEB1" w14:textId="77777777" w:rsidR="007525E9" w:rsidRDefault="007525E9" w:rsidP="007525E9">
      <w:pPr>
        <w:pStyle w:val="ListParagraph"/>
        <w:jc w:val="both"/>
      </w:pPr>
    </w:p>
    <w:p w14:paraId="3436E051" w14:textId="12D7FA65" w:rsidR="00991C8A" w:rsidRPr="00BC7692" w:rsidRDefault="00191238" w:rsidP="00BC76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complete our three-pronged strategy, we </w:t>
      </w:r>
      <w:r w:rsidR="001E4D84">
        <w:rPr>
          <w:rFonts w:ascii="Times New Roman" w:hAnsi="Times New Roman" w:cs="Times New Roman"/>
          <w:sz w:val="24"/>
          <w:szCs w:val="24"/>
        </w:rPr>
        <w:t>also require</w:t>
      </w:r>
      <w:r>
        <w:rPr>
          <w:rFonts w:ascii="Times New Roman" w:hAnsi="Times New Roman" w:cs="Times New Roman"/>
          <w:sz w:val="24"/>
          <w:szCs w:val="24"/>
        </w:rPr>
        <w:t xml:space="preserve"> an effective process for monitoring progress in achieving the desired wellbeing outcomes. We need an array of </w:t>
      </w:r>
      <w:r w:rsidR="00D55C3A">
        <w:rPr>
          <w:rFonts w:ascii="Times New Roman" w:hAnsi="Times New Roman" w:cs="Times New Roman"/>
          <w:sz w:val="24"/>
          <w:szCs w:val="24"/>
        </w:rPr>
        <w:t xml:space="preserve">wellbeing </w:t>
      </w:r>
      <w:r>
        <w:rPr>
          <w:rFonts w:ascii="Times New Roman" w:hAnsi="Times New Roman" w:cs="Times New Roman"/>
          <w:sz w:val="24"/>
          <w:szCs w:val="24"/>
        </w:rPr>
        <w:t>performance measures and a performance management system</w:t>
      </w:r>
    </w:p>
    <w:p w14:paraId="1AD1B914" w14:textId="02ADA519" w:rsidR="00191238" w:rsidRDefault="00191238" w:rsidP="00BC7692">
      <w:pPr>
        <w:spacing w:line="240" w:lineRule="auto"/>
        <w:rPr>
          <w:rFonts w:ascii="Times New Roman" w:hAnsi="Times New Roman" w:cs="Times New Roman"/>
          <w:i/>
          <w:sz w:val="20"/>
          <w:szCs w:val="20"/>
        </w:rPr>
      </w:pPr>
      <w:r w:rsidRPr="00346A82">
        <w:rPr>
          <w:rFonts w:ascii="Times New Roman" w:hAnsi="Times New Roman" w:cs="Times New Roman"/>
          <w:sz w:val="24"/>
          <w:szCs w:val="24"/>
          <w:u w:val="single"/>
        </w:rPr>
        <w:t>Outcome</w:t>
      </w:r>
      <w:r>
        <w:rPr>
          <w:rFonts w:ascii="Times New Roman" w:hAnsi="Times New Roman" w:cs="Times New Roman"/>
          <w:sz w:val="24"/>
          <w:szCs w:val="24"/>
          <w:u w:val="single"/>
        </w:rPr>
        <w:t>-O</w:t>
      </w:r>
      <w:r w:rsidRPr="00346A82">
        <w:rPr>
          <w:rFonts w:ascii="Times New Roman" w:hAnsi="Times New Roman" w:cs="Times New Roman"/>
          <w:sz w:val="24"/>
          <w:szCs w:val="24"/>
          <w:u w:val="single"/>
        </w:rPr>
        <w:t>riented Performance Measurement and Management Systems</w:t>
      </w:r>
    </w:p>
    <w:p w14:paraId="41ABCFCF" w14:textId="4306B41A" w:rsidR="00191238" w:rsidRDefault="007525E9" w:rsidP="007525E9">
      <w:pPr>
        <w:spacing w:after="0" w:line="240" w:lineRule="auto"/>
        <w:rPr>
          <w:rFonts w:ascii="Times New Roman" w:hAnsi="Times New Roman" w:cs="Times New Roman"/>
          <w:sz w:val="24"/>
          <w:szCs w:val="24"/>
        </w:rPr>
      </w:pPr>
      <w:r w:rsidRPr="007525E9">
        <w:rPr>
          <w:rFonts w:ascii="Times New Roman" w:hAnsi="Times New Roman" w:cs="Times New Roman"/>
          <w:sz w:val="24"/>
          <w:szCs w:val="24"/>
        </w:rPr>
        <w:t>Over the last several decades</w:t>
      </w:r>
      <w:r>
        <w:rPr>
          <w:rFonts w:ascii="Times New Roman" w:hAnsi="Times New Roman" w:cs="Times New Roman"/>
          <w:sz w:val="24"/>
          <w:szCs w:val="24"/>
        </w:rPr>
        <w:t>, local and state governments in the United States have begun to identify various performance measures, collect periodic data and report performance results (usually in budget documents</w:t>
      </w:r>
      <w:r w:rsidR="0047701B">
        <w:rPr>
          <w:rFonts w:ascii="Times New Roman" w:hAnsi="Times New Roman" w:cs="Times New Roman"/>
          <w:sz w:val="24"/>
          <w:szCs w:val="24"/>
        </w:rPr>
        <w:t xml:space="preserve"> </w:t>
      </w:r>
      <w:r w:rsidR="00276CD9">
        <w:rPr>
          <w:rFonts w:ascii="Times New Roman" w:hAnsi="Times New Roman" w:cs="Times New Roman"/>
          <w:sz w:val="24"/>
          <w:szCs w:val="24"/>
        </w:rPr>
        <w:t>but</w:t>
      </w:r>
      <w:r w:rsidR="0047701B">
        <w:rPr>
          <w:rFonts w:ascii="Times New Roman" w:hAnsi="Times New Roman" w:cs="Times New Roman"/>
          <w:sz w:val="24"/>
          <w:szCs w:val="24"/>
        </w:rPr>
        <w:t xml:space="preserve"> only reflective of governmental programs</w:t>
      </w:r>
      <w:r>
        <w:rPr>
          <w:rFonts w:ascii="Times New Roman" w:hAnsi="Times New Roman" w:cs="Times New Roman"/>
          <w:sz w:val="24"/>
          <w:szCs w:val="24"/>
        </w:rPr>
        <w:t xml:space="preserve">). However, performance results have </w:t>
      </w:r>
      <w:r w:rsidR="001E4D84">
        <w:rPr>
          <w:rFonts w:ascii="Times New Roman" w:hAnsi="Times New Roman" w:cs="Times New Roman"/>
          <w:sz w:val="24"/>
          <w:szCs w:val="24"/>
        </w:rPr>
        <w:t xml:space="preserve">at best </w:t>
      </w:r>
      <w:r>
        <w:rPr>
          <w:rFonts w:ascii="Times New Roman" w:hAnsi="Times New Roman" w:cs="Times New Roman"/>
          <w:sz w:val="24"/>
          <w:szCs w:val="24"/>
        </w:rPr>
        <w:t xml:space="preserve">mostly been used by program managers to adjust operations. Rarely have performance measures been used to assist </w:t>
      </w:r>
      <w:r w:rsidR="00530902">
        <w:rPr>
          <w:rFonts w:ascii="Times New Roman" w:hAnsi="Times New Roman" w:cs="Times New Roman"/>
          <w:sz w:val="24"/>
          <w:szCs w:val="24"/>
        </w:rPr>
        <w:t xml:space="preserve">in </w:t>
      </w:r>
      <w:r>
        <w:rPr>
          <w:rFonts w:ascii="Times New Roman" w:hAnsi="Times New Roman" w:cs="Times New Roman"/>
          <w:sz w:val="24"/>
          <w:szCs w:val="24"/>
        </w:rPr>
        <w:t xml:space="preserve">resource allocation decision making. What has been missing is a direct and meaningful linkage between the selection of performance measures and confirmation by citizens that selected performance measures are, indeed, relevant measures of the quality of </w:t>
      </w:r>
      <w:r w:rsidR="00A6653A">
        <w:rPr>
          <w:rFonts w:ascii="Times New Roman" w:hAnsi="Times New Roman" w:cs="Times New Roman"/>
          <w:sz w:val="24"/>
          <w:szCs w:val="24"/>
        </w:rPr>
        <w:t>the</w:t>
      </w:r>
      <w:r w:rsidR="00276CD9">
        <w:rPr>
          <w:rFonts w:ascii="Times New Roman" w:hAnsi="Times New Roman" w:cs="Times New Roman"/>
          <w:sz w:val="24"/>
          <w:szCs w:val="24"/>
        </w:rPr>
        <w:t>ir</w:t>
      </w:r>
      <w:r>
        <w:rPr>
          <w:rFonts w:ascii="Times New Roman" w:hAnsi="Times New Roman" w:cs="Times New Roman"/>
          <w:sz w:val="24"/>
          <w:szCs w:val="24"/>
        </w:rPr>
        <w:t xml:space="preserve"> everyday lives</w:t>
      </w:r>
      <w:r w:rsidR="00A6653A">
        <w:rPr>
          <w:rFonts w:ascii="Times New Roman" w:hAnsi="Times New Roman" w:cs="Times New Roman"/>
          <w:sz w:val="24"/>
          <w:szCs w:val="24"/>
        </w:rPr>
        <w:t>. What has also been missing is a mechanism to demonstrate to citizens that resource allocation and program management decisions have been made to directly improve performance, and the commitment to</w:t>
      </w:r>
      <w:r w:rsidR="00276CD9">
        <w:rPr>
          <w:rFonts w:ascii="Times New Roman" w:hAnsi="Times New Roman" w:cs="Times New Roman"/>
          <w:sz w:val="24"/>
          <w:szCs w:val="24"/>
        </w:rPr>
        <w:t xml:space="preserve"> report,</w:t>
      </w:r>
      <w:r w:rsidR="00A6653A">
        <w:rPr>
          <w:rFonts w:ascii="Times New Roman" w:hAnsi="Times New Roman" w:cs="Times New Roman"/>
          <w:sz w:val="24"/>
          <w:szCs w:val="24"/>
        </w:rPr>
        <w:t xml:space="preserve"> over time</w:t>
      </w:r>
      <w:r w:rsidR="00276CD9">
        <w:rPr>
          <w:rFonts w:ascii="Times New Roman" w:hAnsi="Times New Roman" w:cs="Times New Roman"/>
          <w:sz w:val="24"/>
          <w:szCs w:val="24"/>
        </w:rPr>
        <w:t>,</w:t>
      </w:r>
      <w:r w:rsidR="00A6653A">
        <w:rPr>
          <w:rFonts w:ascii="Times New Roman" w:hAnsi="Times New Roman" w:cs="Times New Roman"/>
          <w:sz w:val="24"/>
          <w:szCs w:val="24"/>
        </w:rPr>
        <w:t xml:space="preserve"> progress in achieving the results the performance measures are supposed to measure. </w:t>
      </w:r>
    </w:p>
    <w:p w14:paraId="0802441E" w14:textId="59FBEBC5" w:rsidR="00A6653A" w:rsidRDefault="00A6653A" w:rsidP="007525E9">
      <w:pPr>
        <w:spacing w:after="0" w:line="240" w:lineRule="auto"/>
        <w:rPr>
          <w:rFonts w:ascii="Times New Roman" w:hAnsi="Times New Roman" w:cs="Times New Roman"/>
          <w:sz w:val="24"/>
          <w:szCs w:val="24"/>
        </w:rPr>
      </w:pPr>
    </w:p>
    <w:p w14:paraId="3090B93D" w14:textId="12521C45" w:rsidR="00A6653A" w:rsidRDefault="00A6653A" w:rsidP="007525E9">
      <w:pPr>
        <w:spacing w:after="0" w:line="240" w:lineRule="auto"/>
        <w:rPr>
          <w:rFonts w:ascii="Times New Roman" w:hAnsi="Times New Roman" w:cs="Times New Roman"/>
          <w:sz w:val="24"/>
          <w:szCs w:val="24"/>
        </w:rPr>
      </w:pPr>
      <w:r>
        <w:rPr>
          <w:rFonts w:ascii="Times New Roman" w:hAnsi="Times New Roman" w:cs="Times New Roman"/>
          <w:sz w:val="24"/>
          <w:szCs w:val="24"/>
        </w:rPr>
        <w:t>Here is what an outcome-oriented performance measurement and management system could look like in a typical local government budget process that follows a July 1 to June 30 fiscal year where program outcomes that contribute to citizen wellbeing are being sought:</w:t>
      </w:r>
    </w:p>
    <w:p w14:paraId="4BDA487D" w14:textId="77777777" w:rsidR="00A6653A" w:rsidRPr="007525E9" w:rsidRDefault="00A6653A" w:rsidP="007525E9">
      <w:pPr>
        <w:spacing w:after="0" w:line="240" w:lineRule="auto"/>
        <w:rPr>
          <w:rFonts w:ascii="Times New Roman" w:hAnsi="Times New Roman" w:cs="Times New Roman"/>
          <w:sz w:val="24"/>
          <w:szCs w:val="24"/>
        </w:rPr>
      </w:pPr>
    </w:p>
    <w:p w14:paraId="29772A8C" w14:textId="1959BF8B" w:rsidR="00BC7692" w:rsidRDefault="00C1272B" w:rsidP="00BC7692">
      <w:pPr>
        <w:pStyle w:val="ListParagraph"/>
        <w:numPr>
          <w:ilvl w:val="0"/>
          <w:numId w:val="21"/>
        </w:numPr>
      </w:pPr>
      <w:r>
        <w:t xml:space="preserve">Citizens are extensively involved in evaluating whether existing local government </w:t>
      </w:r>
      <w:r w:rsidR="0047701B">
        <w:t xml:space="preserve">and non-governmental </w:t>
      </w:r>
      <w:r>
        <w:t>programs and service levels are addressing the wellbeing factors previously identified. This is not a one-time evaluation but is an ongoing evaluation process</w:t>
      </w:r>
      <w:r w:rsidR="005078A6">
        <w:t xml:space="preserve"> which involves extensive citizen participation.</w:t>
      </w:r>
    </w:p>
    <w:p w14:paraId="51E3F7F6" w14:textId="77777777" w:rsidR="00BC7692" w:rsidRDefault="00BC7692" w:rsidP="00BC7692">
      <w:pPr>
        <w:pStyle w:val="ListParagraph"/>
      </w:pPr>
    </w:p>
    <w:p w14:paraId="3C13C203" w14:textId="13EA535D" w:rsidR="00BC7692" w:rsidRDefault="005078A6" w:rsidP="00BC7692">
      <w:pPr>
        <w:pStyle w:val="ListParagraph"/>
        <w:numPr>
          <w:ilvl w:val="0"/>
          <w:numId w:val="21"/>
        </w:numPr>
      </w:pPr>
      <w:r>
        <w:t>All budget process proposals to alter the design of service programs and/or alteration of program service levels explicitly demonstrate a relationship to wellbeing factors and their associated performance measures</w:t>
      </w:r>
    </w:p>
    <w:p w14:paraId="5825C56D" w14:textId="77777777" w:rsidR="00BC7692" w:rsidRDefault="00BC7692" w:rsidP="00BC7692">
      <w:pPr>
        <w:pStyle w:val="ListParagraph"/>
      </w:pPr>
    </w:p>
    <w:p w14:paraId="5AB2EFAA" w14:textId="50FB72AD" w:rsidR="005078A6" w:rsidRDefault="005078A6" w:rsidP="00BC7692">
      <w:pPr>
        <w:pStyle w:val="ListParagraph"/>
        <w:numPr>
          <w:ilvl w:val="0"/>
          <w:numId w:val="21"/>
        </w:numPr>
      </w:pPr>
      <w:r>
        <w:t xml:space="preserve">At least annually, there </w:t>
      </w:r>
      <w:r w:rsidR="00EA1687">
        <w:t>would be</w:t>
      </w:r>
      <w:r>
        <w:t xml:space="preserve"> a State of </w:t>
      </w:r>
      <w:r w:rsidR="001E4D84">
        <w:t xml:space="preserve">the </w:t>
      </w:r>
      <w:r>
        <w:t xml:space="preserve">City Wellbeing Report issued by city management </w:t>
      </w:r>
      <w:r w:rsidR="001E4D84">
        <w:t xml:space="preserve">or the City Council </w:t>
      </w:r>
      <w:r>
        <w:t xml:space="preserve">to all citizens. This </w:t>
      </w:r>
      <w:r w:rsidR="00D55C3A">
        <w:t>r</w:t>
      </w:r>
      <w:r>
        <w:t>eport would include</w:t>
      </w:r>
      <w:r w:rsidR="0047701B">
        <w:t xml:space="preserve"> information indicating whether </w:t>
      </w:r>
      <w:r>
        <w:t>progress on meeting wellbeing performance measures</w:t>
      </w:r>
      <w:r w:rsidR="0047701B">
        <w:t xml:space="preserve"> has been made </w:t>
      </w:r>
      <w:r w:rsidR="0047701B">
        <w:lastRenderedPageBreak/>
        <w:t>or not</w:t>
      </w:r>
      <w:r>
        <w:t>, and recommendations for program re-design and/or new programs to further wellbeing realization.</w:t>
      </w:r>
    </w:p>
    <w:p w14:paraId="0307814F" w14:textId="77777777" w:rsidR="00B44BDC" w:rsidRDefault="00B44BDC" w:rsidP="00D55C3A">
      <w:pPr>
        <w:pStyle w:val="ListParagraph"/>
        <w:spacing w:after="240"/>
      </w:pPr>
    </w:p>
    <w:p w14:paraId="4151F045" w14:textId="128772DF" w:rsidR="00B44BDC" w:rsidRDefault="00F014E0" w:rsidP="00DC089E">
      <w:pPr>
        <w:pStyle w:val="ListParagraph"/>
        <w:numPr>
          <w:ilvl w:val="0"/>
          <w:numId w:val="21"/>
        </w:numPr>
      </w:pPr>
      <w:r>
        <w:t xml:space="preserve">The State of </w:t>
      </w:r>
      <w:r w:rsidR="00B44BDC">
        <w:t xml:space="preserve">the </w:t>
      </w:r>
      <w:r>
        <w:t>City Wellbeing Report would encompass all productive efforts in the city</w:t>
      </w:r>
      <w:r w:rsidR="00EA1687">
        <w:t xml:space="preserve"> contributing to desired wellbeing outcomes: city government efforts and efforts by no-profits and citizen </w:t>
      </w:r>
      <w:r w:rsidR="00D55C3A">
        <w:t>led</w:t>
      </w:r>
      <w:r w:rsidR="00EA1687">
        <w:t xml:space="preserve"> efforts. How all of these productive efforts are collaborating and cooperating/could collaborate and cooperating would be </w:t>
      </w:r>
      <w:r w:rsidR="0047701B">
        <w:t xml:space="preserve">also be </w:t>
      </w:r>
      <w:r w:rsidR="00EA1687">
        <w:t>identified.</w:t>
      </w:r>
    </w:p>
    <w:p w14:paraId="41464F03" w14:textId="77777777" w:rsidR="00B44BDC" w:rsidRDefault="00B44BDC" w:rsidP="00DC089E">
      <w:pPr>
        <w:pStyle w:val="ListParagraph"/>
      </w:pPr>
    </w:p>
    <w:p w14:paraId="609A5D53" w14:textId="1BE523E3" w:rsidR="00DC089E" w:rsidRDefault="00EA1687" w:rsidP="00BC7692">
      <w:pPr>
        <w:pStyle w:val="ListParagraph"/>
        <w:numPr>
          <w:ilvl w:val="0"/>
          <w:numId w:val="21"/>
        </w:numPr>
        <w:spacing w:after="240"/>
      </w:pPr>
      <w:r>
        <w:t>City management</w:t>
      </w:r>
      <w:r w:rsidR="00B44BDC">
        <w:t>/City Councils</w:t>
      </w:r>
      <w:r>
        <w:t xml:space="preserve"> would seriously consider using one-way allocations of local government resources (grants) to non-governmental entities to achieve wellbeing outcomes. In such cases</w:t>
      </w:r>
      <w:r w:rsidR="00BA3B4D">
        <w:t xml:space="preserve"> where one-way grants are used</w:t>
      </w:r>
      <w:r>
        <w:t>, local government staff provides technical expertise</w:t>
      </w:r>
      <w:r w:rsidR="00A2500A">
        <w:t>, the collection of performance measurement data,</w:t>
      </w:r>
      <w:r>
        <w:t xml:space="preserve"> and </w:t>
      </w:r>
      <w:r w:rsidR="00A2500A">
        <w:t>administrative oversight to ensure that public resources are used appropriately.</w:t>
      </w:r>
      <w:r w:rsidR="00D55C3A">
        <w:t xml:space="preserve"> (1</w:t>
      </w:r>
      <w:r w:rsidR="0047701B">
        <w:t>2</w:t>
      </w:r>
      <w:r w:rsidR="00D55C3A">
        <w:t>)</w:t>
      </w:r>
    </w:p>
    <w:p w14:paraId="68F10B95" w14:textId="00975ACA" w:rsidR="00191238" w:rsidRPr="00A2500A" w:rsidRDefault="00BA3B4D" w:rsidP="00BC7692">
      <w:pPr>
        <w:spacing w:after="240" w:line="240" w:lineRule="auto"/>
        <w:rPr>
          <w:rFonts w:ascii="Times New Roman" w:hAnsi="Times New Roman" w:cs="Times New Roman"/>
          <w:sz w:val="24"/>
          <w:szCs w:val="24"/>
        </w:rPr>
      </w:pPr>
      <w:r>
        <w:rPr>
          <w:rFonts w:ascii="Times New Roman" w:hAnsi="Times New Roman" w:cs="Times New Roman"/>
          <w:sz w:val="24"/>
          <w:szCs w:val="24"/>
        </w:rPr>
        <w:t>This three-pronged strategy</w:t>
      </w:r>
      <w:r w:rsidR="00A2500A">
        <w:rPr>
          <w:rFonts w:ascii="Times New Roman" w:hAnsi="Times New Roman" w:cs="Times New Roman"/>
          <w:sz w:val="24"/>
          <w:szCs w:val="24"/>
        </w:rPr>
        <w:t xml:space="preserve"> recognize</w:t>
      </w:r>
      <w:r>
        <w:rPr>
          <w:rFonts w:ascii="Times New Roman" w:hAnsi="Times New Roman" w:cs="Times New Roman"/>
          <w:sz w:val="24"/>
          <w:szCs w:val="24"/>
        </w:rPr>
        <w:t>s</w:t>
      </w:r>
      <w:r w:rsidR="00A2500A">
        <w:rPr>
          <w:rFonts w:ascii="Times New Roman" w:hAnsi="Times New Roman" w:cs="Times New Roman"/>
          <w:sz w:val="24"/>
          <w:szCs w:val="24"/>
        </w:rPr>
        <w:t xml:space="preserve"> that achieving wellbeing objectives is beyond the reach of only </w:t>
      </w:r>
      <w:r w:rsidR="00B44BDC">
        <w:rPr>
          <w:rFonts w:ascii="Times New Roman" w:hAnsi="Times New Roman" w:cs="Times New Roman"/>
          <w:sz w:val="24"/>
          <w:szCs w:val="24"/>
        </w:rPr>
        <w:t>C</w:t>
      </w:r>
      <w:r w:rsidR="00A2500A">
        <w:rPr>
          <w:rFonts w:ascii="Times New Roman" w:hAnsi="Times New Roman" w:cs="Times New Roman"/>
          <w:sz w:val="24"/>
          <w:szCs w:val="24"/>
        </w:rPr>
        <w:t xml:space="preserve">ity government operations functioning independently. The role of </w:t>
      </w:r>
      <w:r w:rsidR="00B44BDC">
        <w:rPr>
          <w:rFonts w:ascii="Times New Roman" w:hAnsi="Times New Roman" w:cs="Times New Roman"/>
          <w:sz w:val="24"/>
          <w:szCs w:val="24"/>
        </w:rPr>
        <w:t>C</w:t>
      </w:r>
      <w:r w:rsidR="00A2500A">
        <w:rPr>
          <w:rFonts w:ascii="Times New Roman" w:hAnsi="Times New Roman" w:cs="Times New Roman"/>
          <w:sz w:val="24"/>
          <w:szCs w:val="24"/>
        </w:rPr>
        <w:t xml:space="preserve">ity government operations </w:t>
      </w:r>
      <w:r w:rsidR="00B44BDC">
        <w:rPr>
          <w:rFonts w:ascii="Times New Roman" w:hAnsi="Times New Roman" w:cs="Times New Roman"/>
          <w:sz w:val="24"/>
          <w:szCs w:val="24"/>
        </w:rPr>
        <w:t>would be</w:t>
      </w:r>
      <w:r>
        <w:rPr>
          <w:rFonts w:ascii="Times New Roman" w:hAnsi="Times New Roman" w:cs="Times New Roman"/>
          <w:sz w:val="24"/>
          <w:szCs w:val="24"/>
        </w:rPr>
        <w:t xml:space="preserve">come to not only provide governmental goods and services, but to also </w:t>
      </w:r>
      <w:r w:rsidR="00A2500A">
        <w:rPr>
          <w:rFonts w:ascii="Times New Roman" w:hAnsi="Times New Roman" w:cs="Times New Roman"/>
          <w:sz w:val="24"/>
          <w:szCs w:val="24"/>
        </w:rPr>
        <w:t xml:space="preserve"> marshal </w:t>
      </w:r>
      <w:r w:rsidR="00276CD9">
        <w:rPr>
          <w:rFonts w:ascii="Times New Roman" w:hAnsi="Times New Roman" w:cs="Times New Roman"/>
          <w:sz w:val="24"/>
          <w:szCs w:val="24"/>
        </w:rPr>
        <w:t xml:space="preserve">together </w:t>
      </w:r>
      <w:r w:rsidR="00A2500A">
        <w:rPr>
          <w:rFonts w:ascii="Times New Roman" w:hAnsi="Times New Roman" w:cs="Times New Roman"/>
          <w:sz w:val="24"/>
          <w:szCs w:val="24"/>
        </w:rPr>
        <w:t xml:space="preserve">and help coordinate the total </w:t>
      </w:r>
      <w:r w:rsidR="00274748">
        <w:rPr>
          <w:rFonts w:ascii="Times New Roman" w:hAnsi="Times New Roman" w:cs="Times New Roman"/>
          <w:sz w:val="24"/>
          <w:szCs w:val="24"/>
        </w:rPr>
        <w:t xml:space="preserve">associational </w:t>
      </w:r>
      <w:r w:rsidR="00A2500A">
        <w:rPr>
          <w:rFonts w:ascii="Times New Roman" w:hAnsi="Times New Roman" w:cs="Times New Roman"/>
          <w:sz w:val="24"/>
          <w:szCs w:val="24"/>
        </w:rPr>
        <w:t>resources of the city and its citiz</w:t>
      </w:r>
      <w:r w:rsidR="00274748">
        <w:rPr>
          <w:rFonts w:ascii="Times New Roman" w:hAnsi="Times New Roman" w:cs="Times New Roman"/>
          <w:sz w:val="24"/>
          <w:szCs w:val="24"/>
        </w:rPr>
        <w:t>ens.</w:t>
      </w:r>
    </w:p>
    <w:p w14:paraId="13CE759D" w14:textId="254526DF" w:rsidR="00D756E5" w:rsidRDefault="000137BF">
      <w:pPr>
        <w:rPr>
          <w:rFonts w:ascii="Times New Roman" w:hAnsi="Times New Roman" w:cs="Times New Roman"/>
          <w:b/>
          <w:sz w:val="24"/>
          <w:szCs w:val="24"/>
          <w:u w:val="single"/>
        </w:rPr>
      </w:pPr>
      <w:r>
        <w:rPr>
          <w:rFonts w:ascii="Times New Roman" w:hAnsi="Times New Roman" w:cs="Times New Roman"/>
          <w:b/>
          <w:sz w:val="24"/>
          <w:szCs w:val="24"/>
          <w:u w:val="single"/>
        </w:rPr>
        <w:t>Conclusion</w:t>
      </w:r>
    </w:p>
    <w:p w14:paraId="7282BFA2" w14:textId="5FF38D1C" w:rsidR="00D756E5" w:rsidRPr="00D756E5" w:rsidRDefault="00276392" w:rsidP="00D756E5">
      <w:pPr>
        <w:spacing w:after="0" w:line="240" w:lineRule="auto"/>
        <w:ind w:left="1440"/>
        <w:rPr>
          <w:rFonts w:ascii="Times New Roman" w:hAnsi="Times New Roman" w:cs="Times New Roman"/>
          <w:i/>
          <w:sz w:val="20"/>
          <w:szCs w:val="20"/>
        </w:rPr>
      </w:pPr>
      <w:r>
        <w:rPr>
          <w:rFonts w:ascii="Times New Roman" w:hAnsi="Times New Roman" w:cs="Times New Roman"/>
          <w:i/>
          <w:sz w:val="20"/>
          <w:szCs w:val="20"/>
        </w:rPr>
        <w:t>“</w:t>
      </w:r>
      <w:r w:rsidR="00D756E5" w:rsidRPr="00D756E5">
        <w:rPr>
          <w:rFonts w:ascii="Times New Roman" w:hAnsi="Times New Roman" w:cs="Times New Roman"/>
          <w:i/>
          <w:sz w:val="20"/>
          <w:szCs w:val="20"/>
        </w:rPr>
        <w:t>The Kuhn Cycle:</w:t>
      </w:r>
    </w:p>
    <w:p w14:paraId="1CFE9227" w14:textId="55B26C2D" w:rsidR="00D756E5" w:rsidRPr="00D756E5" w:rsidRDefault="00D756E5" w:rsidP="00D756E5">
      <w:pPr>
        <w:pStyle w:val="ListParagraph"/>
        <w:numPr>
          <w:ilvl w:val="0"/>
          <w:numId w:val="18"/>
        </w:numPr>
        <w:rPr>
          <w:i/>
          <w:sz w:val="20"/>
          <w:szCs w:val="20"/>
        </w:rPr>
      </w:pPr>
      <w:r w:rsidRPr="00D756E5">
        <w:rPr>
          <w:i/>
          <w:sz w:val="20"/>
          <w:szCs w:val="20"/>
        </w:rPr>
        <w:t xml:space="preserve">[We start with] </w:t>
      </w:r>
      <w:r w:rsidRPr="00D756E5">
        <w:rPr>
          <w:b/>
          <w:i/>
          <w:sz w:val="20"/>
          <w:szCs w:val="20"/>
        </w:rPr>
        <w:t>Normal Science</w:t>
      </w:r>
      <w:r w:rsidRPr="00D756E5">
        <w:rPr>
          <w:i/>
          <w:sz w:val="20"/>
          <w:szCs w:val="20"/>
        </w:rPr>
        <w:t xml:space="preserve"> [which] means </w:t>
      </w:r>
      <w:r w:rsidRPr="00D756E5">
        <w:rPr>
          <w:bCs/>
          <w:i/>
          <w:sz w:val="20"/>
          <w:szCs w:val="20"/>
        </w:rPr>
        <w:t>research</w:t>
      </w:r>
      <w:r w:rsidRPr="00D756E5">
        <w:rPr>
          <w:i/>
          <w:sz w:val="20"/>
          <w:szCs w:val="20"/>
        </w:rPr>
        <w:t xml:space="preserve"> firmly based upon one or more past scientific achievements, achievements that some particular scientific community acknowledges for a time as supplying the foundation for its further practice.</w:t>
      </w:r>
    </w:p>
    <w:p w14:paraId="6D39B603" w14:textId="7A14869D" w:rsidR="00D756E5" w:rsidRPr="00D756E5" w:rsidRDefault="00D756E5" w:rsidP="00D756E5">
      <w:pPr>
        <w:pStyle w:val="ListParagraph"/>
        <w:numPr>
          <w:ilvl w:val="0"/>
          <w:numId w:val="18"/>
        </w:numPr>
        <w:rPr>
          <w:i/>
          <w:sz w:val="20"/>
          <w:szCs w:val="20"/>
        </w:rPr>
      </w:pPr>
      <w:r w:rsidRPr="00D756E5">
        <w:rPr>
          <w:i/>
          <w:sz w:val="20"/>
          <w:szCs w:val="20"/>
        </w:rPr>
        <w:t xml:space="preserve">When issues, problems, or phenomenon appear the model cannot handle, the model begins to drift away from Normal Science. As soon as more than a small amount of drift occurs, the field's paradigm is said to be in </w:t>
      </w:r>
      <w:r w:rsidRPr="00D756E5">
        <w:rPr>
          <w:b/>
          <w:i/>
          <w:sz w:val="20"/>
          <w:szCs w:val="20"/>
        </w:rPr>
        <w:t>Model Drift</w:t>
      </w:r>
      <w:r w:rsidRPr="00D756E5">
        <w:rPr>
          <w:i/>
          <w:sz w:val="20"/>
          <w:szCs w:val="20"/>
        </w:rPr>
        <w:t>.</w:t>
      </w:r>
    </w:p>
    <w:p w14:paraId="5A0874BE" w14:textId="597233E1" w:rsidR="00D756E5" w:rsidRPr="00D756E5" w:rsidRDefault="00D756E5" w:rsidP="00D756E5">
      <w:pPr>
        <w:pStyle w:val="ListParagraph"/>
        <w:numPr>
          <w:ilvl w:val="0"/>
          <w:numId w:val="18"/>
        </w:numPr>
        <w:rPr>
          <w:i/>
          <w:sz w:val="20"/>
          <w:szCs w:val="20"/>
        </w:rPr>
      </w:pPr>
      <w:r w:rsidRPr="00D756E5">
        <w:rPr>
          <w:i/>
          <w:sz w:val="20"/>
          <w:szCs w:val="20"/>
        </w:rPr>
        <w:t xml:space="preserve">In this step a field's model of understanding has drifted so </w:t>
      </w:r>
      <w:r w:rsidR="00C1272B" w:rsidRPr="00D756E5">
        <w:rPr>
          <w:i/>
          <w:sz w:val="20"/>
          <w:szCs w:val="20"/>
        </w:rPr>
        <w:t>far,</w:t>
      </w:r>
      <w:r w:rsidRPr="00D756E5">
        <w:rPr>
          <w:i/>
          <w:sz w:val="20"/>
          <w:szCs w:val="20"/>
        </w:rPr>
        <w:t xml:space="preserve"> the field is thrown into crisis, because they can no longer make rational decisions [</w:t>
      </w:r>
      <w:r w:rsidRPr="00D756E5">
        <w:rPr>
          <w:b/>
          <w:i/>
          <w:sz w:val="20"/>
          <w:szCs w:val="20"/>
        </w:rPr>
        <w:t>Model Crisis</w:t>
      </w:r>
      <w:r w:rsidRPr="00D756E5">
        <w:rPr>
          <w:i/>
          <w:sz w:val="20"/>
          <w:szCs w:val="20"/>
        </w:rPr>
        <w:t>]</w:t>
      </w:r>
    </w:p>
    <w:p w14:paraId="11738D58" w14:textId="0D235A84" w:rsidR="00D756E5" w:rsidRPr="00D756E5" w:rsidRDefault="00D756E5" w:rsidP="00D756E5">
      <w:pPr>
        <w:pStyle w:val="ListParagraph"/>
        <w:numPr>
          <w:ilvl w:val="0"/>
          <w:numId w:val="18"/>
        </w:numPr>
        <w:rPr>
          <w:i/>
          <w:sz w:val="20"/>
          <w:szCs w:val="20"/>
        </w:rPr>
      </w:pPr>
      <w:r w:rsidRPr="00D756E5">
        <w:rPr>
          <w:i/>
          <w:sz w:val="20"/>
          <w:szCs w:val="20"/>
        </w:rPr>
        <w:t xml:space="preserve">In this step a field's model of understanding is undergoing revolutionary change. The old model failed, which caused the Model Crisis step. The </w:t>
      </w:r>
      <w:r w:rsidRPr="00D756E5">
        <w:rPr>
          <w:b/>
          <w:i/>
          <w:sz w:val="20"/>
          <w:szCs w:val="20"/>
        </w:rPr>
        <w:t>Model Revolution</w:t>
      </w:r>
      <w:r w:rsidRPr="00D756E5">
        <w:rPr>
          <w:i/>
          <w:sz w:val="20"/>
          <w:szCs w:val="20"/>
        </w:rPr>
        <w:t xml:space="preserve"> step begins when one or more competing new models emerge from the crisis.</w:t>
      </w:r>
    </w:p>
    <w:p w14:paraId="19022729" w14:textId="70C0EFE5" w:rsidR="00D756E5" w:rsidRDefault="00D756E5" w:rsidP="00D756E5">
      <w:pPr>
        <w:pStyle w:val="ListParagraph"/>
        <w:numPr>
          <w:ilvl w:val="0"/>
          <w:numId w:val="18"/>
        </w:numPr>
        <w:rPr>
          <w:i/>
          <w:sz w:val="20"/>
          <w:szCs w:val="20"/>
        </w:rPr>
      </w:pPr>
      <w:r w:rsidRPr="00D756E5">
        <w:rPr>
          <w:i/>
          <w:sz w:val="20"/>
          <w:szCs w:val="20"/>
        </w:rPr>
        <w:t xml:space="preserve">In the </w:t>
      </w:r>
      <w:r w:rsidRPr="00D756E5">
        <w:rPr>
          <w:b/>
          <w:i/>
          <w:sz w:val="20"/>
          <w:szCs w:val="20"/>
        </w:rPr>
        <w:t>Paradigm Change</w:t>
      </w:r>
      <w:r w:rsidRPr="00D756E5">
        <w:rPr>
          <w:i/>
          <w:sz w:val="20"/>
          <w:szCs w:val="20"/>
        </w:rPr>
        <w:t xml:space="preserve"> step, the new paradigm is taught to newcomers to the field, as well as to those already in it. When the new paradigm becomes the generally accepted guide to one's work, the step is complete. The field is now back to the Normal Science step and a Kuhn Cycle is completed.</w:t>
      </w:r>
      <w:r w:rsidR="00276392">
        <w:rPr>
          <w:i/>
          <w:sz w:val="20"/>
          <w:szCs w:val="20"/>
        </w:rPr>
        <w:t>” (Thwink.org Inc., summarizing Kuhn)</w:t>
      </w:r>
    </w:p>
    <w:p w14:paraId="3188C1BB" w14:textId="77777777" w:rsidR="003D2634" w:rsidRPr="00D756E5" w:rsidRDefault="003D2634" w:rsidP="003D2634">
      <w:pPr>
        <w:pStyle w:val="ListParagraph"/>
        <w:ind w:left="2160"/>
        <w:rPr>
          <w:i/>
          <w:sz w:val="20"/>
          <w:szCs w:val="20"/>
        </w:rPr>
      </w:pPr>
    </w:p>
    <w:p w14:paraId="5739B1D9" w14:textId="3B3AEB70" w:rsidR="003D2634" w:rsidRPr="003D2634" w:rsidRDefault="00880716" w:rsidP="003D2634">
      <w:pPr>
        <w:spacing w:after="0" w:line="240" w:lineRule="auto"/>
        <w:jc w:val="both"/>
        <w:rPr>
          <w:rFonts w:ascii="Times New Roman" w:hAnsi="Times New Roman" w:cs="Times New Roman"/>
          <w:b/>
          <w:sz w:val="24"/>
          <w:szCs w:val="24"/>
          <w:u w:val="single"/>
        </w:rPr>
      </w:pPr>
      <w:r w:rsidRPr="00880716">
        <w:rPr>
          <w:rFonts w:ascii="Times New Roman" w:hAnsi="Times New Roman" w:cs="Times New Roman"/>
          <w:sz w:val="24"/>
          <w:szCs w:val="24"/>
        </w:rPr>
        <w:t xml:space="preserve">With respect to addressing the future of </w:t>
      </w:r>
      <w:r>
        <w:rPr>
          <w:rFonts w:ascii="Times New Roman" w:hAnsi="Times New Roman" w:cs="Times New Roman"/>
          <w:sz w:val="24"/>
          <w:szCs w:val="24"/>
        </w:rPr>
        <w:t>productive effort and adapting local budget processes to incorporate</w:t>
      </w:r>
      <w:r w:rsidR="00447CAB">
        <w:rPr>
          <w:rFonts w:ascii="Times New Roman" w:hAnsi="Times New Roman" w:cs="Times New Roman"/>
          <w:sz w:val="24"/>
          <w:szCs w:val="24"/>
        </w:rPr>
        <w:t>/create</w:t>
      </w:r>
      <w:r>
        <w:rPr>
          <w:rFonts w:ascii="Times New Roman" w:hAnsi="Times New Roman" w:cs="Times New Roman"/>
          <w:sz w:val="24"/>
          <w:szCs w:val="24"/>
        </w:rPr>
        <w:t xml:space="preserve"> wellbeing for its citizens, I </w:t>
      </w:r>
      <w:r w:rsidR="00BA3B4D">
        <w:rPr>
          <w:rFonts w:ascii="Times New Roman" w:hAnsi="Times New Roman" w:cs="Times New Roman"/>
          <w:sz w:val="24"/>
          <w:szCs w:val="24"/>
        </w:rPr>
        <w:t>have argued</w:t>
      </w:r>
      <w:r>
        <w:rPr>
          <w:rFonts w:ascii="Times New Roman" w:hAnsi="Times New Roman" w:cs="Times New Roman"/>
          <w:sz w:val="24"/>
          <w:szCs w:val="24"/>
        </w:rPr>
        <w:t xml:space="preserve"> that only coming from the econom</w:t>
      </w:r>
      <w:r w:rsidR="00BA3B4D">
        <w:rPr>
          <w:rFonts w:ascii="Times New Roman" w:hAnsi="Times New Roman" w:cs="Times New Roman"/>
          <w:sz w:val="24"/>
          <w:szCs w:val="24"/>
        </w:rPr>
        <w:t>ic</w:t>
      </w:r>
      <w:r>
        <w:rPr>
          <w:rFonts w:ascii="Times New Roman" w:hAnsi="Times New Roman" w:cs="Times New Roman"/>
          <w:sz w:val="24"/>
          <w:szCs w:val="24"/>
        </w:rPr>
        <w:t xml:space="preserve"> enclave, and technocratic budgeting is not</w:t>
      </w:r>
      <w:r w:rsidR="00B44BDC">
        <w:rPr>
          <w:rFonts w:ascii="Times New Roman" w:hAnsi="Times New Roman" w:cs="Times New Roman"/>
          <w:sz w:val="24"/>
          <w:szCs w:val="24"/>
        </w:rPr>
        <w:t xml:space="preserve"> </w:t>
      </w:r>
      <w:r>
        <w:rPr>
          <w:rFonts w:ascii="Times New Roman" w:hAnsi="Times New Roman" w:cs="Times New Roman"/>
          <w:sz w:val="24"/>
          <w:szCs w:val="24"/>
        </w:rPr>
        <w:t>rational</w:t>
      </w:r>
      <w:r w:rsidR="00703C2E">
        <w:rPr>
          <w:rFonts w:ascii="Times New Roman" w:hAnsi="Times New Roman" w:cs="Times New Roman"/>
          <w:sz w:val="24"/>
          <w:szCs w:val="24"/>
        </w:rPr>
        <w:t xml:space="preserve"> (instrumentally or substantively) because successfully responding to these matters requires solutions that span all societal enclaves in the city.</w:t>
      </w:r>
    </w:p>
    <w:p w14:paraId="5B3993EA" w14:textId="77777777" w:rsidR="003D2634" w:rsidRDefault="003D2634" w:rsidP="003D2634">
      <w:pPr>
        <w:spacing w:after="0" w:line="240" w:lineRule="auto"/>
        <w:jc w:val="both"/>
        <w:rPr>
          <w:rFonts w:ascii="Times New Roman" w:hAnsi="Times New Roman" w:cs="Times New Roman"/>
          <w:sz w:val="24"/>
          <w:szCs w:val="24"/>
        </w:rPr>
      </w:pPr>
    </w:p>
    <w:p w14:paraId="66BC471F" w14:textId="4CB88F6B" w:rsidR="003D2634" w:rsidRDefault="00B44BDC" w:rsidP="003D26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Concerning the future of productive effort</w:t>
      </w:r>
      <w:r w:rsidR="00880716">
        <w:rPr>
          <w:rFonts w:ascii="Times New Roman" w:hAnsi="Times New Roman" w:cs="Times New Roman"/>
          <w:sz w:val="24"/>
          <w:szCs w:val="24"/>
        </w:rPr>
        <w:t xml:space="preserve">, it </w:t>
      </w:r>
      <w:r w:rsidR="00447CAB">
        <w:rPr>
          <w:rFonts w:ascii="Times New Roman" w:hAnsi="Times New Roman" w:cs="Times New Roman"/>
          <w:sz w:val="24"/>
          <w:szCs w:val="24"/>
        </w:rPr>
        <w:t xml:space="preserve">is </w:t>
      </w:r>
      <w:r>
        <w:rPr>
          <w:rFonts w:ascii="Times New Roman" w:hAnsi="Times New Roman" w:cs="Times New Roman"/>
          <w:sz w:val="24"/>
          <w:szCs w:val="24"/>
        </w:rPr>
        <w:t xml:space="preserve">not rational to </w:t>
      </w:r>
      <w:r w:rsidR="00447CAB">
        <w:rPr>
          <w:rFonts w:ascii="Times New Roman" w:hAnsi="Times New Roman" w:cs="Times New Roman"/>
          <w:sz w:val="24"/>
          <w:szCs w:val="24"/>
        </w:rPr>
        <w:t xml:space="preserve">assumed that the </w:t>
      </w:r>
      <w:r w:rsidR="00703C2E">
        <w:rPr>
          <w:rFonts w:ascii="Times New Roman" w:hAnsi="Times New Roman" w:cs="Times New Roman"/>
          <w:sz w:val="24"/>
          <w:szCs w:val="24"/>
        </w:rPr>
        <w:t xml:space="preserve">only </w:t>
      </w:r>
      <w:r w:rsidR="00447CAB">
        <w:rPr>
          <w:rFonts w:ascii="Times New Roman" w:hAnsi="Times New Roman" w:cs="Times New Roman"/>
          <w:sz w:val="24"/>
          <w:szCs w:val="24"/>
        </w:rPr>
        <w:t xml:space="preserve">task is to so adapt society and its institutions </w:t>
      </w:r>
      <w:r w:rsidR="003D2634">
        <w:rPr>
          <w:rFonts w:ascii="Times New Roman" w:hAnsi="Times New Roman" w:cs="Times New Roman"/>
          <w:sz w:val="24"/>
          <w:szCs w:val="24"/>
        </w:rPr>
        <w:t xml:space="preserve">so </w:t>
      </w:r>
      <w:r w:rsidR="00447CAB">
        <w:rPr>
          <w:rFonts w:ascii="Times New Roman" w:hAnsi="Times New Roman" w:cs="Times New Roman"/>
          <w:sz w:val="24"/>
          <w:szCs w:val="24"/>
        </w:rPr>
        <w:t xml:space="preserve">that as IT/AI generated disruptions occur everyone must reskill or upskill as a job holder to continue to be competitive in the economy enclave or fall into a social safety net program until they are reskilled or upskilled. </w:t>
      </w:r>
      <w:r w:rsidR="003D2634">
        <w:rPr>
          <w:rFonts w:ascii="Times New Roman" w:hAnsi="Times New Roman" w:cs="Times New Roman"/>
          <w:sz w:val="24"/>
          <w:szCs w:val="24"/>
        </w:rPr>
        <w:t xml:space="preserve">Fulfilling this assumption is </w:t>
      </w:r>
      <w:r w:rsidR="00703C2E">
        <w:rPr>
          <w:rFonts w:ascii="Times New Roman" w:hAnsi="Times New Roman" w:cs="Times New Roman"/>
          <w:sz w:val="24"/>
          <w:szCs w:val="24"/>
        </w:rPr>
        <w:t xml:space="preserve">probably </w:t>
      </w:r>
      <w:r w:rsidR="003D2634">
        <w:rPr>
          <w:rFonts w:ascii="Times New Roman" w:hAnsi="Times New Roman" w:cs="Times New Roman"/>
          <w:sz w:val="24"/>
          <w:szCs w:val="24"/>
        </w:rPr>
        <w:t xml:space="preserve">cost </w:t>
      </w:r>
      <w:r w:rsidR="003D2634">
        <w:rPr>
          <w:rFonts w:ascii="Times New Roman" w:hAnsi="Times New Roman" w:cs="Times New Roman"/>
          <w:sz w:val="24"/>
          <w:szCs w:val="24"/>
        </w:rPr>
        <w:lastRenderedPageBreak/>
        <w:t xml:space="preserve">prohibitive </w:t>
      </w:r>
      <w:r w:rsidR="00703C2E">
        <w:rPr>
          <w:rFonts w:ascii="Times New Roman" w:hAnsi="Times New Roman" w:cs="Times New Roman"/>
          <w:sz w:val="24"/>
          <w:szCs w:val="24"/>
        </w:rPr>
        <w:t>and un</w:t>
      </w:r>
      <w:r w:rsidR="003D2634">
        <w:rPr>
          <w:rFonts w:ascii="Times New Roman" w:hAnsi="Times New Roman" w:cs="Times New Roman"/>
          <w:sz w:val="24"/>
          <w:szCs w:val="24"/>
        </w:rPr>
        <w:t xml:space="preserve">realistic for all people wishing to </w:t>
      </w:r>
      <w:r w:rsidR="00276CD9">
        <w:rPr>
          <w:rFonts w:ascii="Times New Roman" w:hAnsi="Times New Roman" w:cs="Times New Roman"/>
          <w:sz w:val="24"/>
          <w:szCs w:val="24"/>
        </w:rPr>
        <w:t xml:space="preserve">not be a traditional job holder but, nevertheless, still </w:t>
      </w:r>
      <w:r w:rsidR="003D2634">
        <w:rPr>
          <w:rFonts w:ascii="Times New Roman" w:hAnsi="Times New Roman" w:cs="Times New Roman"/>
          <w:sz w:val="24"/>
          <w:szCs w:val="24"/>
        </w:rPr>
        <w:t>be productive</w:t>
      </w:r>
      <w:r w:rsidR="00276CD9">
        <w:rPr>
          <w:rFonts w:ascii="Times New Roman" w:hAnsi="Times New Roman" w:cs="Times New Roman"/>
          <w:sz w:val="24"/>
          <w:szCs w:val="24"/>
        </w:rPr>
        <w:t xml:space="preserve"> and contributing to society.</w:t>
      </w:r>
      <w:r w:rsidR="003D2634">
        <w:rPr>
          <w:rFonts w:ascii="Times New Roman" w:hAnsi="Times New Roman" w:cs="Times New Roman"/>
          <w:sz w:val="24"/>
          <w:szCs w:val="24"/>
        </w:rPr>
        <w:t xml:space="preserve"> </w:t>
      </w:r>
    </w:p>
    <w:p w14:paraId="323E972A" w14:textId="77777777" w:rsidR="003D2634" w:rsidRDefault="003D2634" w:rsidP="00447CAB">
      <w:pPr>
        <w:spacing w:after="0" w:line="240" w:lineRule="auto"/>
        <w:jc w:val="both"/>
        <w:rPr>
          <w:rFonts w:ascii="Times New Roman" w:hAnsi="Times New Roman" w:cs="Times New Roman"/>
          <w:sz w:val="24"/>
          <w:szCs w:val="24"/>
        </w:rPr>
      </w:pPr>
    </w:p>
    <w:p w14:paraId="4D9C65A7" w14:textId="58D016DD" w:rsidR="00B44BDC" w:rsidRDefault="00B44BDC" w:rsidP="00447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Concerning local government budget processes</w:t>
      </w:r>
      <w:r w:rsidR="00447CAB">
        <w:rPr>
          <w:rFonts w:ascii="Times New Roman" w:hAnsi="Times New Roman" w:cs="Times New Roman"/>
          <w:sz w:val="24"/>
          <w:szCs w:val="24"/>
        </w:rPr>
        <w:t xml:space="preserve">, it is </w:t>
      </w:r>
      <w:r>
        <w:rPr>
          <w:rFonts w:ascii="Times New Roman" w:hAnsi="Times New Roman" w:cs="Times New Roman"/>
          <w:sz w:val="24"/>
          <w:szCs w:val="24"/>
        </w:rPr>
        <w:t>not</w:t>
      </w:r>
      <w:r w:rsidR="00703C2E">
        <w:rPr>
          <w:rFonts w:ascii="Times New Roman" w:hAnsi="Times New Roman" w:cs="Times New Roman"/>
          <w:sz w:val="24"/>
          <w:szCs w:val="24"/>
        </w:rPr>
        <w:t xml:space="preserve"> </w:t>
      </w:r>
      <w:r>
        <w:rPr>
          <w:rFonts w:ascii="Times New Roman" w:hAnsi="Times New Roman" w:cs="Times New Roman"/>
          <w:sz w:val="24"/>
          <w:szCs w:val="24"/>
        </w:rPr>
        <w:t xml:space="preserve">rational to </w:t>
      </w:r>
      <w:r w:rsidR="00447CAB">
        <w:rPr>
          <w:rFonts w:ascii="Times New Roman" w:hAnsi="Times New Roman" w:cs="Times New Roman"/>
          <w:sz w:val="24"/>
          <w:szCs w:val="24"/>
        </w:rPr>
        <w:t xml:space="preserve">assumed that </w:t>
      </w:r>
      <w:r w:rsidR="00703C2E">
        <w:rPr>
          <w:rFonts w:ascii="Times New Roman" w:hAnsi="Times New Roman" w:cs="Times New Roman"/>
          <w:sz w:val="24"/>
          <w:szCs w:val="24"/>
        </w:rPr>
        <w:t xml:space="preserve">only </w:t>
      </w:r>
      <w:r w:rsidR="00447CAB">
        <w:rPr>
          <w:rFonts w:ascii="Times New Roman" w:hAnsi="Times New Roman" w:cs="Times New Roman"/>
          <w:sz w:val="24"/>
          <w:szCs w:val="24"/>
        </w:rPr>
        <w:t>more and/or better technocratic budgeting will</w:t>
      </w:r>
      <w:r w:rsidR="00703C2E">
        <w:rPr>
          <w:rFonts w:ascii="Times New Roman" w:hAnsi="Times New Roman" w:cs="Times New Roman"/>
          <w:sz w:val="24"/>
          <w:szCs w:val="24"/>
        </w:rPr>
        <w:t xml:space="preserve"> </w:t>
      </w:r>
      <w:r w:rsidR="00447CAB">
        <w:rPr>
          <w:rFonts w:ascii="Times New Roman" w:hAnsi="Times New Roman" w:cs="Times New Roman"/>
          <w:sz w:val="24"/>
          <w:szCs w:val="24"/>
        </w:rPr>
        <w:t xml:space="preserve">produce </w:t>
      </w:r>
      <w:r w:rsidR="00BA3B4D">
        <w:rPr>
          <w:rFonts w:ascii="Times New Roman" w:hAnsi="Times New Roman" w:cs="Times New Roman"/>
          <w:sz w:val="24"/>
          <w:szCs w:val="24"/>
        </w:rPr>
        <w:t>on</w:t>
      </w:r>
      <w:r w:rsidR="00703C2E">
        <w:rPr>
          <w:rFonts w:ascii="Times New Roman" w:hAnsi="Times New Roman" w:cs="Times New Roman"/>
          <w:sz w:val="24"/>
          <w:szCs w:val="24"/>
        </w:rPr>
        <w:t xml:space="preserve"> an on-going basis </w:t>
      </w:r>
      <w:r w:rsidR="00447CAB">
        <w:rPr>
          <w:rFonts w:ascii="Times New Roman" w:hAnsi="Times New Roman" w:cs="Times New Roman"/>
          <w:sz w:val="24"/>
          <w:szCs w:val="24"/>
        </w:rPr>
        <w:t>the correct mix of programs/service levels that will produce wellbeing for citizens</w:t>
      </w:r>
      <w:r w:rsidR="00BA3B4D">
        <w:rPr>
          <w:rFonts w:ascii="Times New Roman" w:hAnsi="Times New Roman" w:cs="Times New Roman"/>
          <w:sz w:val="24"/>
          <w:szCs w:val="24"/>
        </w:rPr>
        <w:t xml:space="preserve"> that citizens consider as legitimately addressing their lived needs</w:t>
      </w:r>
      <w:r w:rsidR="00447CAB">
        <w:rPr>
          <w:rFonts w:ascii="Times New Roman" w:hAnsi="Times New Roman" w:cs="Times New Roman"/>
          <w:sz w:val="24"/>
          <w:szCs w:val="24"/>
        </w:rPr>
        <w:t xml:space="preserve">, and </w:t>
      </w:r>
      <w:r>
        <w:rPr>
          <w:rFonts w:ascii="Times New Roman" w:hAnsi="Times New Roman" w:cs="Times New Roman"/>
          <w:sz w:val="24"/>
          <w:szCs w:val="24"/>
        </w:rPr>
        <w:t xml:space="preserve">that </w:t>
      </w:r>
      <w:r w:rsidR="00447CAB">
        <w:rPr>
          <w:rFonts w:ascii="Times New Roman" w:hAnsi="Times New Roman" w:cs="Times New Roman"/>
          <w:sz w:val="24"/>
          <w:szCs w:val="24"/>
        </w:rPr>
        <w:t xml:space="preserve">it is not necessary to meaningfully involve them, except as </w:t>
      </w:r>
      <w:r w:rsidR="00FF3625">
        <w:rPr>
          <w:rFonts w:ascii="Times New Roman" w:hAnsi="Times New Roman" w:cs="Times New Roman"/>
          <w:sz w:val="24"/>
          <w:szCs w:val="24"/>
        </w:rPr>
        <w:t xml:space="preserve">information providers and </w:t>
      </w:r>
      <w:r w:rsidR="00447CAB">
        <w:rPr>
          <w:rFonts w:ascii="Times New Roman" w:hAnsi="Times New Roman" w:cs="Times New Roman"/>
          <w:sz w:val="24"/>
          <w:szCs w:val="24"/>
        </w:rPr>
        <w:t xml:space="preserve">reactors, in the process. </w:t>
      </w:r>
    </w:p>
    <w:p w14:paraId="5711EA52" w14:textId="77777777" w:rsidR="00B44BDC" w:rsidRDefault="00B44BDC" w:rsidP="00447CAB">
      <w:pPr>
        <w:spacing w:after="0" w:line="240" w:lineRule="auto"/>
        <w:jc w:val="both"/>
        <w:rPr>
          <w:rFonts w:ascii="Times New Roman" w:hAnsi="Times New Roman" w:cs="Times New Roman"/>
          <w:sz w:val="24"/>
          <w:szCs w:val="24"/>
        </w:rPr>
      </w:pPr>
    </w:p>
    <w:p w14:paraId="77990071" w14:textId="18821144" w:rsidR="00880716" w:rsidRDefault="00447CAB" w:rsidP="00447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both cases, </w:t>
      </w:r>
      <w:r w:rsidR="00703C2E">
        <w:rPr>
          <w:rFonts w:ascii="Times New Roman" w:hAnsi="Times New Roman" w:cs="Times New Roman"/>
          <w:sz w:val="24"/>
          <w:szCs w:val="24"/>
        </w:rPr>
        <w:t xml:space="preserve">it seems to me that </w:t>
      </w:r>
      <w:r>
        <w:rPr>
          <w:rFonts w:ascii="Times New Roman" w:hAnsi="Times New Roman" w:cs="Times New Roman"/>
          <w:sz w:val="24"/>
          <w:szCs w:val="24"/>
        </w:rPr>
        <w:t xml:space="preserve">the </w:t>
      </w:r>
      <w:r w:rsidR="00B44BDC">
        <w:rPr>
          <w:rFonts w:ascii="Times New Roman" w:hAnsi="Times New Roman" w:cs="Times New Roman"/>
          <w:sz w:val="24"/>
          <w:szCs w:val="24"/>
        </w:rPr>
        <w:t>current</w:t>
      </w:r>
      <w:r w:rsidR="00ED665D">
        <w:rPr>
          <w:rFonts w:ascii="Times New Roman" w:hAnsi="Times New Roman" w:cs="Times New Roman"/>
          <w:sz w:val="24"/>
          <w:szCs w:val="24"/>
        </w:rPr>
        <w:t>ly dominate</w:t>
      </w:r>
      <w:r w:rsidR="00B44BDC">
        <w:rPr>
          <w:rFonts w:ascii="Times New Roman" w:hAnsi="Times New Roman" w:cs="Times New Roman"/>
          <w:sz w:val="24"/>
          <w:szCs w:val="24"/>
        </w:rPr>
        <w:t xml:space="preserve"> economic enclave and technocratic</w:t>
      </w:r>
      <w:r>
        <w:rPr>
          <w:rFonts w:ascii="Times New Roman" w:hAnsi="Times New Roman" w:cs="Times New Roman"/>
          <w:sz w:val="24"/>
          <w:szCs w:val="24"/>
        </w:rPr>
        <w:t xml:space="preserve"> decision m</w:t>
      </w:r>
      <w:r w:rsidR="003D2634">
        <w:rPr>
          <w:rFonts w:ascii="Times New Roman" w:hAnsi="Times New Roman" w:cs="Times New Roman"/>
          <w:sz w:val="24"/>
          <w:szCs w:val="24"/>
        </w:rPr>
        <w:t>o</w:t>
      </w:r>
      <w:r>
        <w:rPr>
          <w:rFonts w:ascii="Times New Roman" w:hAnsi="Times New Roman" w:cs="Times New Roman"/>
          <w:sz w:val="24"/>
          <w:szCs w:val="24"/>
        </w:rPr>
        <w:t xml:space="preserve">del </w:t>
      </w:r>
      <w:r w:rsidR="00B44BDC">
        <w:rPr>
          <w:rFonts w:ascii="Times New Roman" w:hAnsi="Times New Roman" w:cs="Times New Roman"/>
          <w:sz w:val="24"/>
          <w:szCs w:val="24"/>
        </w:rPr>
        <w:t>is</w:t>
      </w:r>
      <w:r>
        <w:rPr>
          <w:rFonts w:ascii="Times New Roman" w:hAnsi="Times New Roman" w:cs="Times New Roman"/>
          <w:sz w:val="24"/>
          <w:szCs w:val="24"/>
        </w:rPr>
        <w:t xml:space="preserve"> in </w:t>
      </w:r>
      <w:r w:rsidR="003D2634">
        <w:rPr>
          <w:rFonts w:ascii="Times New Roman" w:hAnsi="Times New Roman" w:cs="Times New Roman"/>
          <w:sz w:val="24"/>
          <w:szCs w:val="24"/>
        </w:rPr>
        <w:t xml:space="preserve">Kuhn Cycle </w:t>
      </w:r>
      <w:r>
        <w:rPr>
          <w:rFonts w:ascii="Times New Roman" w:hAnsi="Times New Roman" w:cs="Times New Roman"/>
          <w:sz w:val="24"/>
          <w:szCs w:val="24"/>
        </w:rPr>
        <w:t xml:space="preserve">Model Drift </w:t>
      </w:r>
      <w:r w:rsidR="00043308">
        <w:rPr>
          <w:rFonts w:ascii="Times New Roman" w:hAnsi="Times New Roman" w:cs="Times New Roman"/>
          <w:sz w:val="24"/>
          <w:szCs w:val="24"/>
        </w:rPr>
        <w:t xml:space="preserve">step </w:t>
      </w:r>
      <w:r>
        <w:rPr>
          <w:rFonts w:ascii="Times New Roman" w:hAnsi="Times New Roman" w:cs="Times New Roman"/>
          <w:sz w:val="24"/>
          <w:szCs w:val="24"/>
        </w:rPr>
        <w:t xml:space="preserve">and </w:t>
      </w:r>
      <w:r w:rsidR="00B44BDC">
        <w:rPr>
          <w:rFonts w:ascii="Times New Roman" w:hAnsi="Times New Roman" w:cs="Times New Roman"/>
          <w:sz w:val="24"/>
          <w:szCs w:val="24"/>
        </w:rPr>
        <w:t>is likely</w:t>
      </w:r>
      <w:r>
        <w:rPr>
          <w:rFonts w:ascii="Times New Roman" w:hAnsi="Times New Roman" w:cs="Times New Roman"/>
          <w:sz w:val="24"/>
          <w:szCs w:val="24"/>
        </w:rPr>
        <w:t xml:space="preserve"> soon to be in </w:t>
      </w:r>
      <w:r w:rsidR="003D2634">
        <w:rPr>
          <w:rFonts w:ascii="Times New Roman" w:hAnsi="Times New Roman" w:cs="Times New Roman"/>
          <w:sz w:val="24"/>
          <w:szCs w:val="24"/>
        </w:rPr>
        <w:t xml:space="preserve">Kuhn Cycle </w:t>
      </w:r>
      <w:r>
        <w:rPr>
          <w:rFonts w:ascii="Times New Roman" w:hAnsi="Times New Roman" w:cs="Times New Roman"/>
          <w:sz w:val="24"/>
          <w:szCs w:val="24"/>
        </w:rPr>
        <w:t>Model Crisis</w:t>
      </w:r>
      <w:r w:rsidR="00043308">
        <w:rPr>
          <w:rFonts w:ascii="Times New Roman" w:hAnsi="Times New Roman" w:cs="Times New Roman"/>
          <w:sz w:val="24"/>
          <w:szCs w:val="24"/>
        </w:rPr>
        <w:t xml:space="preserve"> step.</w:t>
      </w:r>
      <w:r w:rsidR="003D2634">
        <w:rPr>
          <w:rFonts w:ascii="Times New Roman" w:hAnsi="Times New Roman" w:cs="Times New Roman"/>
          <w:sz w:val="24"/>
          <w:szCs w:val="24"/>
        </w:rPr>
        <w:t xml:space="preserve"> </w:t>
      </w:r>
    </w:p>
    <w:p w14:paraId="158DC586" w14:textId="7ADF521C" w:rsidR="003D2634" w:rsidRDefault="003D2634" w:rsidP="00447CAB">
      <w:pPr>
        <w:spacing w:after="0" w:line="240" w:lineRule="auto"/>
        <w:jc w:val="both"/>
        <w:rPr>
          <w:rFonts w:ascii="Times New Roman" w:hAnsi="Times New Roman" w:cs="Times New Roman"/>
          <w:sz w:val="24"/>
          <w:szCs w:val="24"/>
        </w:rPr>
      </w:pPr>
    </w:p>
    <w:p w14:paraId="645DF15C" w14:textId="1ACFC708" w:rsidR="003D2634" w:rsidRDefault="003D2634" w:rsidP="00447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have tried to show in this brief paper that looking at both issues through the Para-economic Paradigm opens up new possibilities</w:t>
      </w:r>
      <w:r w:rsidR="00043308">
        <w:rPr>
          <w:rFonts w:ascii="Times New Roman" w:hAnsi="Times New Roman" w:cs="Times New Roman"/>
          <w:sz w:val="24"/>
          <w:szCs w:val="24"/>
        </w:rPr>
        <w:t xml:space="preserve"> and could possibly take us into the Kuhn Cycle Model Revolution step</w:t>
      </w:r>
      <w:r>
        <w:rPr>
          <w:rFonts w:ascii="Times New Roman" w:hAnsi="Times New Roman" w:cs="Times New Roman"/>
          <w:sz w:val="24"/>
          <w:szCs w:val="24"/>
        </w:rPr>
        <w:t>.</w:t>
      </w:r>
      <w:r w:rsidR="009E6C9B">
        <w:rPr>
          <w:rFonts w:ascii="Times New Roman" w:hAnsi="Times New Roman" w:cs="Times New Roman"/>
          <w:sz w:val="24"/>
          <w:szCs w:val="24"/>
        </w:rPr>
        <w:t xml:space="preserve"> I have also tried to sketch out the parameters of the new possibilities applicable to each issue. </w:t>
      </w:r>
    </w:p>
    <w:p w14:paraId="3E0FBD6D" w14:textId="7CE2DCEE" w:rsidR="009E6C9B" w:rsidRDefault="009E6C9B" w:rsidP="00447CAB">
      <w:pPr>
        <w:spacing w:after="0" w:line="240" w:lineRule="auto"/>
        <w:jc w:val="both"/>
        <w:rPr>
          <w:rFonts w:ascii="Times New Roman" w:hAnsi="Times New Roman" w:cs="Times New Roman"/>
          <w:sz w:val="24"/>
          <w:szCs w:val="24"/>
        </w:rPr>
      </w:pPr>
    </w:p>
    <w:p w14:paraId="26428A9A" w14:textId="0856357B" w:rsidR="009E6C9B" w:rsidRDefault="009E6C9B" w:rsidP="00447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let the debate and discussion begin!</w:t>
      </w:r>
    </w:p>
    <w:p w14:paraId="6D57F09F" w14:textId="77777777" w:rsidR="003D2634" w:rsidRPr="00880716" w:rsidRDefault="003D2634" w:rsidP="00447CAB">
      <w:pPr>
        <w:spacing w:after="0" w:line="240" w:lineRule="auto"/>
        <w:jc w:val="both"/>
        <w:rPr>
          <w:rFonts w:ascii="Times New Roman" w:hAnsi="Times New Roman" w:cs="Times New Roman"/>
          <w:sz w:val="24"/>
          <w:szCs w:val="24"/>
        </w:rPr>
      </w:pPr>
    </w:p>
    <w:p w14:paraId="72B373AF" w14:textId="52A92CB7" w:rsidR="007921B7" w:rsidRPr="007E636D" w:rsidRDefault="007921B7" w:rsidP="00973746">
      <w:pPr>
        <w:spacing w:line="240" w:lineRule="auto"/>
        <w:jc w:val="both"/>
        <w:rPr>
          <w:rFonts w:ascii="Times New Roman" w:hAnsi="Times New Roman" w:cs="Times New Roman"/>
          <w:b/>
          <w:sz w:val="20"/>
          <w:szCs w:val="20"/>
          <w:u w:val="single"/>
        </w:rPr>
      </w:pPr>
      <w:r w:rsidRPr="007E636D">
        <w:rPr>
          <w:rFonts w:ascii="Times New Roman" w:hAnsi="Times New Roman" w:cs="Times New Roman"/>
          <w:b/>
          <w:sz w:val="20"/>
          <w:szCs w:val="20"/>
          <w:u w:val="single"/>
        </w:rPr>
        <w:t>Notes</w:t>
      </w:r>
      <w:r w:rsidR="00B809C4" w:rsidRPr="007E636D">
        <w:rPr>
          <w:rFonts w:ascii="Times New Roman" w:hAnsi="Times New Roman" w:cs="Times New Roman"/>
          <w:b/>
          <w:sz w:val="20"/>
          <w:szCs w:val="20"/>
          <w:u w:val="single"/>
        </w:rPr>
        <w:t>:</w:t>
      </w:r>
    </w:p>
    <w:p w14:paraId="3F2559D9" w14:textId="1B8908DB" w:rsidR="00B809C4" w:rsidRDefault="00B809C4" w:rsidP="00B809C4">
      <w:pPr>
        <w:pStyle w:val="ListParagraph"/>
        <w:numPr>
          <w:ilvl w:val="0"/>
          <w:numId w:val="22"/>
        </w:numPr>
        <w:spacing w:after="240"/>
        <w:jc w:val="both"/>
        <w:rPr>
          <w:sz w:val="20"/>
          <w:szCs w:val="20"/>
        </w:rPr>
      </w:pPr>
      <w:r w:rsidRPr="00B809C4">
        <w:rPr>
          <w:sz w:val="20"/>
          <w:szCs w:val="20"/>
        </w:rPr>
        <w:t>It is beyond the scope of this paper to delineate the theoretical distinctions between instrumental and substantive rationality, and to explore the applicability of these distinctions for public administration and organizations</w:t>
      </w:r>
      <w:r>
        <w:rPr>
          <w:sz w:val="20"/>
          <w:szCs w:val="20"/>
        </w:rPr>
        <w:t xml:space="preserve">. </w:t>
      </w:r>
      <w:r w:rsidR="00143554">
        <w:rPr>
          <w:sz w:val="20"/>
          <w:szCs w:val="20"/>
        </w:rPr>
        <w:t>For more information concerning these matters, p</w:t>
      </w:r>
      <w:r>
        <w:rPr>
          <w:sz w:val="20"/>
          <w:szCs w:val="20"/>
        </w:rPr>
        <w:t>lease see</w:t>
      </w:r>
      <w:r w:rsidR="000B0560">
        <w:rPr>
          <w:sz w:val="20"/>
          <w:szCs w:val="20"/>
        </w:rPr>
        <w:t>:</w:t>
      </w:r>
      <w:r>
        <w:rPr>
          <w:sz w:val="20"/>
          <w:szCs w:val="20"/>
        </w:rPr>
        <w:t xml:space="preserve"> Santos, Serafim, Pinheiro and Ames 2019</w:t>
      </w:r>
      <w:r w:rsidR="000B0560">
        <w:rPr>
          <w:sz w:val="20"/>
          <w:szCs w:val="20"/>
        </w:rPr>
        <w:t>;</w:t>
      </w:r>
      <w:r>
        <w:rPr>
          <w:sz w:val="20"/>
          <w:szCs w:val="20"/>
        </w:rPr>
        <w:t xml:space="preserve"> and Santos, Serafim and Pinheiro 20</w:t>
      </w:r>
      <w:r w:rsidR="00D42548">
        <w:rPr>
          <w:sz w:val="20"/>
          <w:szCs w:val="20"/>
        </w:rPr>
        <w:t>1</w:t>
      </w:r>
      <w:r>
        <w:rPr>
          <w:sz w:val="20"/>
          <w:szCs w:val="20"/>
        </w:rPr>
        <w:t>9.</w:t>
      </w:r>
    </w:p>
    <w:p w14:paraId="564AB75D" w14:textId="77777777" w:rsidR="001D1335" w:rsidRDefault="001D1335" w:rsidP="001D1335">
      <w:pPr>
        <w:pStyle w:val="ListParagraph"/>
        <w:spacing w:after="240"/>
        <w:jc w:val="both"/>
        <w:rPr>
          <w:sz w:val="20"/>
          <w:szCs w:val="20"/>
        </w:rPr>
      </w:pPr>
    </w:p>
    <w:p w14:paraId="3DDD13E0" w14:textId="2795F16F" w:rsidR="00EE04E9" w:rsidRDefault="00EE04E9" w:rsidP="00B809C4">
      <w:pPr>
        <w:pStyle w:val="ListParagraph"/>
        <w:numPr>
          <w:ilvl w:val="0"/>
          <w:numId w:val="22"/>
        </w:numPr>
        <w:spacing w:after="240"/>
        <w:jc w:val="both"/>
        <w:rPr>
          <w:sz w:val="20"/>
          <w:szCs w:val="20"/>
        </w:rPr>
      </w:pPr>
      <w:r>
        <w:rPr>
          <w:sz w:val="20"/>
          <w:szCs w:val="20"/>
        </w:rPr>
        <w:t xml:space="preserve">I use the term “lens” here to refer to a context or way of looking at things. So, context includes a particular way of understanding and dealing with the world, and includes a variety of assumptions (based primarily on past experiences) about who the </w:t>
      </w:r>
      <w:r w:rsidR="001D1335">
        <w:rPr>
          <w:sz w:val="20"/>
          <w:szCs w:val="20"/>
        </w:rPr>
        <w:t>observer is, who others are, the way the world works, how things fit together, etc. One</w:t>
      </w:r>
      <w:r w:rsidR="00FB7B3D">
        <w:rPr>
          <w:sz w:val="20"/>
          <w:szCs w:val="20"/>
        </w:rPr>
        <w:t>’</w:t>
      </w:r>
      <w:r w:rsidR="001D1335">
        <w:rPr>
          <w:sz w:val="20"/>
          <w:szCs w:val="20"/>
        </w:rPr>
        <w:t>s existing context usually works well in dealing with the world until something new comes up which cannot be dealt with very well or seems unsolvable.  At this point, it may be useful to change one</w:t>
      </w:r>
      <w:r w:rsidR="00FB7B3D">
        <w:rPr>
          <w:sz w:val="20"/>
          <w:szCs w:val="20"/>
        </w:rPr>
        <w:t>’</w:t>
      </w:r>
      <w:r w:rsidR="001D1335">
        <w:rPr>
          <w:sz w:val="20"/>
          <w:szCs w:val="20"/>
        </w:rPr>
        <w:t xml:space="preserve">s context or way of looking at the matter to see if something </w:t>
      </w:r>
      <w:r w:rsidR="00FB7B3D">
        <w:rPr>
          <w:sz w:val="20"/>
          <w:szCs w:val="20"/>
        </w:rPr>
        <w:t xml:space="preserve">previously </w:t>
      </w:r>
      <w:r w:rsidR="001D1335">
        <w:rPr>
          <w:sz w:val="20"/>
          <w:szCs w:val="20"/>
        </w:rPr>
        <w:t xml:space="preserve">unseen comes into view </w:t>
      </w:r>
      <w:r w:rsidR="00D062AA">
        <w:rPr>
          <w:sz w:val="20"/>
          <w:szCs w:val="20"/>
        </w:rPr>
        <w:t>that</w:t>
      </w:r>
      <w:r w:rsidR="001D1335">
        <w:rPr>
          <w:sz w:val="20"/>
          <w:szCs w:val="20"/>
        </w:rPr>
        <w:t xml:space="preserve"> may be useful.</w:t>
      </w:r>
    </w:p>
    <w:p w14:paraId="68D5DD81" w14:textId="77777777" w:rsidR="00E11BF0" w:rsidRDefault="00E11BF0" w:rsidP="00E11BF0">
      <w:pPr>
        <w:pStyle w:val="ListParagraph"/>
        <w:spacing w:after="240"/>
        <w:jc w:val="both"/>
        <w:rPr>
          <w:sz w:val="20"/>
          <w:szCs w:val="20"/>
        </w:rPr>
      </w:pPr>
    </w:p>
    <w:p w14:paraId="71B1F4C4" w14:textId="17541B46" w:rsidR="00E11BF0" w:rsidRDefault="00E11BF0" w:rsidP="00B809C4">
      <w:pPr>
        <w:pStyle w:val="ListParagraph"/>
        <w:numPr>
          <w:ilvl w:val="0"/>
          <w:numId w:val="22"/>
        </w:numPr>
        <w:spacing w:after="240"/>
        <w:jc w:val="both"/>
        <w:rPr>
          <w:sz w:val="20"/>
          <w:szCs w:val="20"/>
        </w:rPr>
      </w:pPr>
      <w:r>
        <w:rPr>
          <w:sz w:val="20"/>
          <w:szCs w:val="20"/>
        </w:rPr>
        <w:t xml:space="preserve">For example, see Meijer (2011): </w:t>
      </w:r>
      <w:r w:rsidR="00CB4C73">
        <w:rPr>
          <w:sz w:val="20"/>
          <w:szCs w:val="20"/>
        </w:rPr>
        <w:t xml:space="preserve">“Over the years, various definitions were provided for coproduction, but it seems difficult to provide a definition that does not include all forms of public service provision and does not become too specific. An example of a definition that seems to include nearly all forms of public service provision is Ostrom’s definition of coproduction as ‘the process through which inputs </w:t>
      </w:r>
      <w:r w:rsidR="00FB7B3D">
        <w:rPr>
          <w:sz w:val="20"/>
          <w:szCs w:val="20"/>
        </w:rPr>
        <w:t xml:space="preserve">that </w:t>
      </w:r>
      <w:r w:rsidR="00CB4C73">
        <w:rPr>
          <w:sz w:val="20"/>
          <w:szCs w:val="20"/>
        </w:rPr>
        <w:t>are used to provide a good or service are contributed by individuals who are not in the same organization.’ “(page 599).</w:t>
      </w:r>
    </w:p>
    <w:p w14:paraId="55C71CAE" w14:textId="77777777" w:rsidR="00B809C4" w:rsidRDefault="00B809C4" w:rsidP="00B809C4">
      <w:pPr>
        <w:pStyle w:val="ListParagraph"/>
        <w:spacing w:after="240"/>
        <w:jc w:val="both"/>
        <w:rPr>
          <w:sz w:val="20"/>
          <w:szCs w:val="20"/>
        </w:rPr>
      </w:pPr>
    </w:p>
    <w:p w14:paraId="3F758F30" w14:textId="5D9C7578" w:rsidR="007921B7" w:rsidRPr="00B809C4" w:rsidRDefault="008F4627" w:rsidP="00B809C4">
      <w:pPr>
        <w:pStyle w:val="ListParagraph"/>
        <w:numPr>
          <w:ilvl w:val="0"/>
          <w:numId w:val="22"/>
        </w:numPr>
        <w:spacing w:after="240"/>
        <w:jc w:val="both"/>
        <w:rPr>
          <w:sz w:val="20"/>
          <w:szCs w:val="20"/>
        </w:rPr>
      </w:pPr>
      <w:r w:rsidRPr="00B809C4">
        <w:rPr>
          <w:sz w:val="20"/>
          <w:szCs w:val="20"/>
        </w:rPr>
        <w:t xml:space="preserve">Wright (2008) identifies three sources of income-generating work: market-generated employment organized by privately owned firms, state organized public employment, and social-economy employment. </w:t>
      </w:r>
      <w:r w:rsidR="00C5706D" w:rsidRPr="00B809C4">
        <w:rPr>
          <w:sz w:val="20"/>
          <w:szCs w:val="20"/>
        </w:rPr>
        <w:t>Concerning the latter, he states:</w:t>
      </w:r>
    </w:p>
    <w:p w14:paraId="56537740" w14:textId="66B50416" w:rsidR="00C5706D" w:rsidRPr="008175C5" w:rsidRDefault="00C5706D" w:rsidP="00C5706D">
      <w:pPr>
        <w:pStyle w:val="ListParagraph"/>
        <w:jc w:val="both"/>
        <w:rPr>
          <w:sz w:val="20"/>
          <w:szCs w:val="20"/>
        </w:rPr>
      </w:pPr>
    </w:p>
    <w:p w14:paraId="3762DC95" w14:textId="51A30331" w:rsidR="00C5706D" w:rsidRPr="008175C5" w:rsidRDefault="00C5706D" w:rsidP="00C5706D">
      <w:pPr>
        <w:pStyle w:val="ListParagraph"/>
        <w:jc w:val="both"/>
        <w:rPr>
          <w:sz w:val="20"/>
          <w:szCs w:val="20"/>
        </w:rPr>
      </w:pPr>
      <w:r w:rsidRPr="008175C5">
        <w:rPr>
          <w:sz w:val="20"/>
          <w:szCs w:val="20"/>
        </w:rPr>
        <w:t>“This term [social-economy] is used in a variety of different ways to describe a range of economic activities that are organized neither by capitalist firms nor by states. Nonprofit organizations and NGO’s are often included in this category. Certain kinds of worker and consumer cooperatives are also often included. Most broadly I define the social economy as economic activity oriented towards the provision of needs, rather than profits, and organized through some kind of voluntary association rather than directly by the state. The social -economy may be facilitated by a range of state policies and subsidies, but the activities within the social-economy a</w:t>
      </w:r>
      <w:r w:rsidR="00FA5F42">
        <w:rPr>
          <w:sz w:val="20"/>
          <w:szCs w:val="20"/>
        </w:rPr>
        <w:t>re</w:t>
      </w:r>
      <w:r w:rsidRPr="008175C5">
        <w:rPr>
          <w:sz w:val="20"/>
          <w:szCs w:val="20"/>
        </w:rPr>
        <w:t xml:space="preserve"> not themselves </w:t>
      </w:r>
      <w:r w:rsidR="00FA5F42">
        <w:rPr>
          <w:sz w:val="20"/>
          <w:szCs w:val="20"/>
        </w:rPr>
        <w:t>run</w:t>
      </w:r>
      <w:r w:rsidRPr="008175C5">
        <w:rPr>
          <w:sz w:val="20"/>
          <w:szCs w:val="20"/>
        </w:rPr>
        <w:t xml:space="preserve"> by the state.” (page 5)</w:t>
      </w:r>
    </w:p>
    <w:p w14:paraId="17C0699F" w14:textId="4BA0B0CF" w:rsidR="00C5706D" w:rsidRPr="008175C5" w:rsidRDefault="00C5706D" w:rsidP="00C5706D">
      <w:pPr>
        <w:pStyle w:val="ListParagraph"/>
        <w:jc w:val="both"/>
        <w:rPr>
          <w:sz w:val="20"/>
          <w:szCs w:val="20"/>
        </w:rPr>
      </w:pPr>
    </w:p>
    <w:p w14:paraId="6EABC9F1" w14:textId="082A2A77" w:rsidR="00C5706D" w:rsidRDefault="00C5706D" w:rsidP="00C5706D">
      <w:pPr>
        <w:pStyle w:val="ListParagraph"/>
        <w:jc w:val="both"/>
        <w:rPr>
          <w:sz w:val="20"/>
          <w:szCs w:val="20"/>
        </w:rPr>
      </w:pPr>
      <w:r w:rsidRPr="008175C5">
        <w:rPr>
          <w:sz w:val="20"/>
          <w:szCs w:val="20"/>
        </w:rPr>
        <w:lastRenderedPageBreak/>
        <w:t>Wright’s social-economy employment encompasses jobs that deliver income to the job holders. As such, the context is stil</w:t>
      </w:r>
      <w:r w:rsidR="00D90F38" w:rsidRPr="008175C5">
        <w:rPr>
          <w:sz w:val="20"/>
          <w:szCs w:val="20"/>
        </w:rPr>
        <w:t>l</w:t>
      </w:r>
      <w:r w:rsidRPr="008175C5">
        <w:rPr>
          <w:sz w:val="20"/>
          <w:szCs w:val="20"/>
        </w:rPr>
        <w:t xml:space="preserve"> within</w:t>
      </w:r>
      <w:r w:rsidR="00D90F38" w:rsidRPr="008175C5">
        <w:rPr>
          <w:sz w:val="20"/>
          <w:szCs w:val="20"/>
        </w:rPr>
        <w:t xml:space="preserve"> the economy enclave of the social fabric. What I am referring to is the opportunity for people to engage in productive efforts i</w:t>
      </w:r>
      <w:r w:rsidR="008C25D9">
        <w:rPr>
          <w:sz w:val="20"/>
          <w:szCs w:val="20"/>
        </w:rPr>
        <w:t>n</w:t>
      </w:r>
      <w:r w:rsidR="00D90F38" w:rsidRPr="008175C5">
        <w:rPr>
          <w:sz w:val="20"/>
          <w:szCs w:val="20"/>
        </w:rPr>
        <w:t xml:space="preserve"> similar organizational settings but not as job holders and not for the purpose of getting income.</w:t>
      </w:r>
    </w:p>
    <w:p w14:paraId="54ABC5C3" w14:textId="5CCE9BF6" w:rsidR="00F3507C" w:rsidRDefault="00F3507C" w:rsidP="00C5706D">
      <w:pPr>
        <w:pStyle w:val="ListParagraph"/>
        <w:jc w:val="both"/>
        <w:rPr>
          <w:sz w:val="20"/>
          <w:szCs w:val="20"/>
        </w:rPr>
      </w:pPr>
    </w:p>
    <w:p w14:paraId="7D420933" w14:textId="26CF4B61" w:rsidR="00F3507C" w:rsidRDefault="00F3507C" w:rsidP="00F3507C">
      <w:pPr>
        <w:pStyle w:val="ListParagraph"/>
        <w:numPr>
          <w:ilvl w:val="0"/>
          <w:numId w:val="22"/>
        </w:numPr>
        <w:jc w:val="both"/>
        <w:rPr>
          <w:sz w:val="20"/>
          <w:szCs w:val="20"/>
        </w:rPr>
      </w:pPr>
      <w:r>
        <w:rPr>
          <w:sz w:val="20"/>
          <w:szCs w:val="20"/>
        </w:rPr>
        <w:t xml:space="preserve">It is important to emphasize that </w:t>
      </w:r>
      <w:r w:rsidR="00FA1CD0">
        <w:rPr>
          <w:sz w:val="20"/>
          <w:szCs w:val="20"/>
        </w:rPr>
        <w:t>by distinguishing Isonomies and Phenonomies as other setting where productive effort can occur, I am not advocating the elimination or reducing the importance of economies. Economies are essential to modern societies.</w:t>
      </w:r>
    </w:p>
    <w:p w14:paraId="682B3AE0" w14:textId="5D7E903F" w:rsidR="0089772F" w:rsidRDefault="0089772F" w:rsidP="00C5706D">
      <w:pPr>
        <w:pStyle w:val="ListParagraph"/>
        <w:jc w:val="both"/>
        <w:rPr>
          <w:sz w:val="20"/>
          <w:szCs w:val="20"/>
        </w:rPr>
      </w:pPr>
    </w:p>
    <w:p w14:paraId="5B7097CD" w14:textId="07E64CD2" w:rsidR="0089772F" w:rsidRDefault="0089772F" w:rsidP="0089772F">
      <w:pPr>
        <w:pStyle w:val="ListParagraph"/>
        <w:numPr>
          <w:ilvl w:val="0"/>
          <w:numId w:val="22"/>
        </w:numPr>
        <w:jc w:val="both"/>
        <w:rPr>
          <w:sz w:val="20"/>
          <w:szCs w:val="20"/>
        </w:rPr>
      </w:pPr>
      <w:r>
        <w:rPr>
          <w:sz w:val="20"/>
          <w:szCs w:val="20"/>
        </w:rPr>
        <w:t>For more information</w:t>
      </w:r>
      <w:r w:rsidR="006B63CA">
        <w:rPr>
          <w:sz w:val="20"/>
          <w:szCs w:val="20"/>
        </w:rPr>
        <w:t xml:space="preserve"> concerning the City of Stockton’s Stockton Economic Empowerment Demonstration (SEED) </w:t>
      </w:r>
      <w:r w:rsidR="00143554">
        <w:rPr>
          <w:sz w:val="20"/>
          <w:szCs w:val="20"/>
        </w:rPr>
        <w:t>P</w:t>
      </w:r>
      <w:r w:rsidR="006B63CA">
        <w:rPr>
          <w:sz w:val="20"/>
          <w:szCs w:val="20"/>
        </w:rPr>
        <w:t>rogram</w:t>
      </w:r>
      <w:r>
        <w:rPr>
          <w:sz w:val="20"/>
          <w:szCs w:val="20"/>
        </w:rPr>
        <w:t xml:space="preserve">, please see </w:t>
      </w:r>
      <w:hyperlink r:id="rId13" w:history="1">
        <w:r w:rsidR="00682551" w:rsidRPr="00630F88">
          <w:rPr>
            <w:rStyle w:val="Hyperlink"/>
            <w:sz w:val="20"/>
            <w:szCs w:val="20"/>
          </w:rPr>
          <w:t>www.stocktondemonstration.org</w:t>
        </w:r>
      </w:hyperlink>
      <w:r>
        <w:rPr>
          <w:sz w:val="20"/>
          <w:szCs w:val="20"/>
        </w:rPr>
        <w:t>.</w:t>
      </w:r>
      <w:r w:rsidR="00682551">
        <w:rPr>
          <w:sz w:val="20"/>
          <w:szCs w:val="20"/>
        </w:rPr>
        <w:t>, and Hendricks (2019)</w:t>
      </w:r>
    </w:p>
    <w:p w14:paraId="7D4D644A" w14:textId="77777777" w:rsidR="00BA6F7C" w:rsidRPr="00BA6F7C" w:rsidRDefault="00BA6F7C" w:rsidP="00BA6F7C">
      <w:pPr>
        <w:pStyle w:val="ListParagraph"/>
        <w:rPr>
          <w:sz w:val="20"/>
          <w:szCs w:val="20"/>
        </w:rPr>
      </w:pPr>
    </w:p>
    <w:p w14:paraId="137E9E5D" w14:textId="7DF5EED0" w:rsidR="00910933" w:rsidRPr="00BC7692" w:rsidRDefault="00BA6F7C" w:rsidP="00BC7692">
      <w:pPr>
        <w:pStyle w:val="ListParagraph"/>
        <w:numPr>
          <w:ilvl w:val="0"/>
          <w:numId w:val="22"/>
        </w:numPr>
        <w:jc w:val="both"/>
        <w:rPr>
          <w:sz w:val="20"/>
          <w:szCs w:val="20"/>
        </w:rPr>
      </w:pPr>
      <w:r>
        <w:rPr>
          <w:sz w:val="20"/>
          <w:szCs w:val="20"/>
        </w:rPr>
        <w:t>Najjar (1978) makes clear the distinction between two-way allocations of resources and one-way allocations:</w:t>
      </w:r>
    </w:p>
    <w:p w14:paraId="47C2B3F5" w14:textId="77777777" w:rsidR="00910933" w:rsidRPr="00910933" w:rsidRDefault="00910933" w:rsidP="00BC7692">
      <w:pPr>
        <w:pStyle w:val="ListParagraph"/>
        <w:jc w:val="both"/>
        <w:rPr>
          <w:sz w:val="20"/>
          <w:szCs w:val="20"/>
        </w:rPr>
      </w:pPr>
    </w:p>
    <w:p w14:paraId="0FA5BDB6" w14:textId="3E5BFBE7" w:rsidR="00BA6F7C" w:rsidRDefault="00BA6F7C" w:rsidP="00BC7692">
      <w:pPr>
        <w:pStyle w:val="ListParagraph"/>
        <w:numPr>
          <w:ilvl w:val="0"/>
          <w:numId w:val="23"/>
        </w:numPr>
        <w:jc w:val="both"/>
        <w:rPr>
          <w:sz w:val="20"/>
          <w:szCs w:val="20"/>
        </w:rPr>
      </w:pPr>
      <w:r>
        <w:rPr>
          <w:sz w:val="20"/>
          <w:szCs w:val="20"/>
        </w:rPr>
        <w:t>[The market or economic enclave view</w:t>
      </w:r>
      <w:r w:rsidR="00143554">
        <w:rPr>
          <w:sz w:val="20"/>
          <w:szCs w:val="20"/>
        </w:rPr>
        <w:t>,</w:t>
      </w:r>
      <w:r>
        <w:rPr>
          <w:sz w:val="20"/>
          <w:szCs w:val="20"/>
        </w:rPr>
        <w:t xml:space="preserve"> by its nature</w:t>
      </w:r>
      <w:r w:rsidR="00143554">
        <w:rPr>
          <w:sz w:val="20"/>
          <w:szCs w:val="20"/>
        </w:rPr>
        <w:t>, uses</w:t>
      </w:r>
      <w:r>
        <w:rPr>
          <w:sz w:val="20"/>
          <w:szCs w:val="20"/>
        </w:rPr>
        <w:t xml:space="preserve"> two-way transaction</w:t>
      </w:r>
      <w:r w:rsidR="00143554">
        <w:rPr>
          <w:sz w:val="20"/>
          <w:szCs w:val="20"/>
        </w:rPr>
        <w:t>s</w:t>
      </w:r>
      <w:r>
        <w:rPr>
          <w:sz w:val="20"/>
          <w:szCs w:val="20"/>
        </w:rPr>
        <w:t xml:space="preserve"> where] </w:t>
      </w:r>
      <w:r w:rsidR="00143554">
        <w:rPr>
          <w:sz w:val="20"/>
          <w:szCs w:val="20"/>
        </w:rPr>
        <w:t>“</w:t>
      </w:r>
      <w:r>
        <w:rPr>
          <w:sz w:val="20"/>
          <w:szCs w:val="20"/>
        </w:rPr>
        <w:t>In setting his own personal priorities as an individual as well as in functioning in a collectivity, man is guided by a utilitarian ethic pr</w:t>
      </w:r>
      <w:r w:rsidR="00143554">
        <w:rPr>
          <w:sz w:val="20"/>
          <w:szCs w:val="20"/>
        </w:rPr>
        <w:t>e</w:t>
      </w:r>
      <w:r>
        <w:rPr>
          <w:sz w:val="20"/>
          <w:szCs w:val="20"/>
        </w:rPr>
        <w:t>directed on an all-embracing calculus of gains and losses.</w:t>
      </w:r>
      <w:r w:rsidR="00B277FA">
        <w:rPr>
          <w:sz w:val="20"/>
          <w:szCs w:val="20"/>
        </w:rPr>
        <w:t>” (page 500)</w:t>
      </w:r>
    </w:p>
    <w:p w14:paraId="40FEF33A" w14:textId="77777777" w:rsidR="00910933" w:rsidRDefault="00910933" w:rsidP="00910933">
      <w:pPr>
        <w:pStyle w:val="ListParagraph"/>
        <w:spacing w:after="240"/>
        <w:ind w:left="1440"/>
        <w:jc w:val="both"/>
        <w:rPr>
          <w:sz w:val="20"/>
          <w:szCs w:val="20"/>
        </w:rPr>
      </w:pPr>
    </w:p>
    <w:p w14:paraId="6E2CA153" w14:textId="6422A0EE" w:rsidR="00143554" w:rsidRDefault="00B277FA" w:rsidP="00143554">
      <w:pPr>
        <w:pStyle w:val="ListParagraph"/>
        <w:numPr>
          <w:ilvl w:val="0"/>
          <w:numId w:val="23"/>
        </w:numPr>
        <w:spacing w:after="240"/>
        <w:jc w:val="both"/>
        <w:rPr>
          <w:sz w:val="20"/>
          <w:szCs w:val="20"/>
        </w:rPr>
      </w:pPr>
      <w:r>
        <w:rPr>
          <w:sz w:val="20"/>
          <w:szCs w:val="20"/>
        </w:rPr>
        <w:t>“Without necessarily having to have such origin, one-way transfers often reflect an inner normative stance or sense of commitment on the part of the donor. Unlike two-way transfers or exchange relationships that follow an exogenous imperative intended to improve one’s acquisitive position, grants or one-way transfers stem from an autonomous decision of the individual and are usually intended to promote social and political ends that are often held as value preferences and cannot be demonstrated or refuted on allocative grounds alone. The allocative justification of grants often extends into the realms of political-social philosophy and ethical obligation.”</w:t>
      </w:r>
      <w:r w:rsidR="007608C7">
        <w:rPr>
          <w:sz w:val="20"/>
          <w:szCs w:val="20"/>
        </w:rPr>
        <w:t xml:space="preserve"> (page 502)</w:t>
      </w:r>
    </w:p>
    <w:p w14:paraId="4396767C" w14:textId="77777777" w:rsidR="00143554" w:rsidRPr="00143554" w:rsidRDefault="00143554" w:rsidP="00143554">
      <w:pPr>
        <w:pStyle w:val="ListParagraph"/>
        <w:rPr>
          <w:sz w:val="20"/>
          <w:szCs w:val="20"/>
        </w:rPr>
      </w:pPr>
    </w:p>
    <w:p w14:paraId="1F84C56C" w14:textId="77777777" w:rsidR="00143554" w:rsidRPr="00143554" w:rsidRDefault="00143554" w:rsidP="00143554">
      <w:pPr>
        <w:pStyle w:val="ListParagraph"/>
        <w:spacing w:after="240"/>
        <w:ind w:left="1440"/>
        <w:jc w:val="both"/>
        <w:rPr>
          <w:sz w:val="20"/>
          <w:szCs w:val="20"/>
        </w:rPr>
      </w:pPr>
    </w:p>
    <w:p w14:paraId="4BCE1F8B" w14:textId="27FEE53C" w:rsidR="00910933" w:rsidRDefault="007608C7" w:rsidP="00143554">
      <w:pPr>
        <w:pStyle w:val="ListParagraph"/>
        <w:numPr>
          <w:ilvl w:val="0"/>
          <w:numId w:val="23"/>
        </w:numPr>
        <w:spacing w:after="240"/>
        <w:jc w:val="both"/>
        <w:rPr>
          <w:sz w:val="20"/>
          <w:szCs w:val="20"/>
        </w:rPr>
      </w:pPr>
      <w:r>
        <w:rPr>
          <w:sz w:val="20"/>
          <w:szCs w:val="20"/>
        </w:rPr>
        <w:t>“Unlike the logic of immediate loss and gain that guides exchange relationships, grants or one-way transfers are usually rooted in a communal-societal integrative drive.” (page 502)</w:t>
      </w:r>
    </w:p>
    <w:p w14:paraId="78ACFB72" w14:textId="77777777" w:rsidR="00910933" w:rsidRPr="00910933" w:rsidRDefault="00910933" w:rsidP="00143554">
      <w:pPr>
        <w:pStyle w:val="ListParagraph"/>
        <w:ind w:left="1440"/>
        <w:jc w:val="both"/>
        <w:rPr>
          <w:sz w:val="20"/>
          <w:szCs w:val="20"/>
        </w:rPr>
      </w:pPr>
    </w:p>
    <w:p w14:paraId="47C463F1" w14:textId="4F89082A" w:rsidR="007608C7" w:rsidRDefault="007608C7" w:rsidP="00910933">
      <w:pPr>
        <w:pStyle w:val="ListParagraph"/>
        <w:numPr>
          <w:ilvl w:val="0"/>
          <w:numId w:val="23"/>
        </w:numPr>
        <w:spacing w:after="240"/>
        <w:jc w:val="both"/>
        <w:rPr>
          <w:sz w:val="20"/>
          <w:szCs w:val="20"/>
        </w:rPr>
      </w:pPr>
      <w:r>
        <w:rPr>
          <w:sz w:val="20"/>
          <w:szCs w:val="20"/>
        </w:rPr>
        <w:t>“Being predicated on the notions of benevolence, equity and long-range collective sharing of life in qualitative and not quantitative terms, one-way transfers are often intended to offset some of the imbalances created by the market exchange economy.” (page 502)</w:t>
      </w:r>
    </w:p>
    <w:p w14:paraId="570B023B" w14:textId="77777777" w:rsidR="00910933" w:rsidRDefault="00910933" w:rsidP="00910933">
      <w:pPr>
        <w:pStyle w:val="ListParagraph"/>
        <w:ind w:left="1440"/>
        <w:jc w:val="both"/>
        <w:rPr>
          <w:sz w:val="20"/>
          <w:szCs w:val="20"/>
        </w:rPr>
      </w:pPr>
    </w:p>
    <w:p w14:paraId="3A82823B" w14:textId="77777777" w:rsidR="00143554" w:rsidRDefault="007608C7" w:rsidP="007608C7">
      <w:pPr>
        <w:pStyle w:val="ListParagraph"/>
        <w:jc w:val="both"/>
        <w:rPr>
          <w:sz w:val="20"/>
          <w:szCs w:val="20"/>
        </w:rPr>
      </w:pPr>
      <w:r>
        <w:rPr>
          <w:sz w:val="20"/>
          <w:szCs w:val="20"/>
        </w:rPr>
        <w:t>It should be noted that when currently used by local governments, one -way transfers are employed as if they were two-way exchanges. What is being exchanged for local government grant funds is a more cost</w:t>
      </w:r>
      <w:r w:rsidR="00910933">
        <w:rPr>
          <w:sz w:val="20"/>
          <w:szCs w:val="20"/>
        </w:rPr>
        <w:t>-</w:t>
      </w:r>
      <w:r>
        <w:rPr>
          <w:sz w:val="20"/>
          <w:szCs w:val="20"/>
        </w:rPr>
        <w:t>effective way to deliver local government</w:t>
      </w:r>
      <w:r w:rsidR="00910933">
        <w:rPr>
          <w:sz w:val="20"/>
          <w:szCs w:val="20"/>
        </w:rPr>
        <w:t xml:space="preserve"> goods or services. </w:t>
      </w:r>
    </w:p>
    <w:p w14:paraId="6F8BD24F" w14:textId="77777777" w:rsidR="00143554" w:rsidRDefault="00143554" w:rsidP="007608C7">
      <w:pPr>
        <w:pStyle w:val="ListParagraph"/>
        <w:jc w:val="both"/>
        <w:rPr>
          <w:sz w:val="20"/>
          <w:szCs w:val="20"/>
        </w:rPr>
      </w:pPr>
    </w:p>
    <w:p w14:paraId="36636000" w14:textId="3BCAD64B" w:rsidR="007608C7" w:rsidRPr="00BA6F7C" w:rsidRDefault="00910933" w:rsidP="007608C7">
      <w:pPr>
        <w:pStyle w:val="ListParagraph"/>
        <w:jc w:val="both"/>
        <w:rPr>
          <w:sz w:val="20"/>
          <w:szCs w:val="20"/>
        </w:rPr>
      </w:pPr>
      <w:r>
        <w:rPr>
          <w:sz w:val="20"/>
          <w:szCs w:val="20"/>
        </w:rPr>
        <w:t xml:space="preserve">Najjar’s distinction of one-way transfers makes them useful for increasing citizen wellbeing. </w:t>
      </w:r>
    </w:p>
    <w:p w14:paraId="050FBE73" w14:textId="77777777" w:rsidR="002B1D1A" w:rsidRPr="002B1D1A" w:rsidRDefault="002B1D1A" w:rsidP="002B1D1A">
      <w:pPr>
        <w:pStyle w:val="ListParagraph"/>
        <w:rPr>
          <w:sz w:val="20"/>
          <w:szCs w:val="20"/>
        </w:rPr>
      </w:pPr>
    </w:p>
    <w:p w14:paraId="094DB46F" w14:textId="00ABF9CB" w:rsidR="002B1D1A" w:rsidRDefault="002B1D1A" w:rsidP="0089772F">
      <w:pPr>
        <w:pStyle w:val="ListParagraph"/>
        <w:numPr>
          <w:ilvl w:val="0"/>
          <w:numId w:val="22"/>
        </w:numPr>
        <w:jc w:val="both"/>
        <w:rPr>
          <w:sz w:val="20"/>
          <w:szCs w:val="20"/>
        </w:rPr>
      </w:pPr>
      <w:r>
        <w:rPr>
          <w:sz w:val="20"/>
          <w:szCs w:val="20"/>
        </w:rPr>
        <w:t>For more information</w:t>
      </w:r>
      <w:r w:rsidR="006B63CA">
        <w:rPr>
          <w:sz w:val="20"/>
          <w:szCs w:val="20"/>
        </w:rPr>
        <w:t xml:space="preserve"> concerning the City of Santa Monica’s Wellbeing Project</w:t>
      </w:r>
      <w:r>
        <w:rPr>
          <w:sz w:val="20"/>
          <w:szCs w:val="20"/>
        </w:rPr>
        <w:t xml:space="preserve">, please see </w:t>
      </w:r>
      <w:hyperlink r:id="rId14" w:history="1">
        <w:r w:rsidRPr="00A62F24">
          <w:rPr>
            <w:rStyle w:val="Hyperlink"/>
            <w:sz w:val="20"/>
            <w:szCs w:val="20"/>
          </w:rPr>
          <w:t>http://wellbeing.smgov.net</w:t>
        </w:r>
      </w:hyperlink>
      <w:r w:rsidR="00ED665D">
        <w:rPr>
          <w:sz w:val="20"/>
          <w:szCs w:val="20"/>
        </w:rPr>
        <w:t>, and Goldsmith (2017)</w:t>
      </w:r>
    </w:p>
    <w:p w14:paraId="6B39A688" w14:textId="77777777" w:rsidR="0046466D" w:rsidRPr="0046466D" w:rsidRDefault="0046466D" w:rsidP="0046466D">
      <w:pPr>
        <w:pStyle w:val="ListParagraph"/>
        <w:rPr>
          <w:sz w:val="20"/>
          <w:szCs w:val="20"/>
        </w:rPr>
      </w:pPr>
    </w:p>
    <w:p w14:paraId="1DE4BD2A" w14:textId="4A54B2DF" w:rsidR="0046466D" w:rsidRDefault="0046466D" w:rsidP="0089772F">
      <w:pPr>
        <w:pStyle w:val="ListParagraph"/>
        <w:numPr>
          <w:ilvl w:val="0"/>
          <w:numId w:val="22"/>
        </w:numPr>
        <w:jc w:val="both"/>
        <w:rPr>
          <w:sz w:val="20"/>
          <w:szCs w:val="20"/>
        </w:rPr>
      </w:pPr>
      <w:r>
        <w:rPr>
          <w:sz w:val="20"/>
          <w:szCs w:val="20"/>
        </w:rPr>
        <w:t>For more information</w:t>
      </w:r>
      <w:r w:rsidR="006B63CA">
        <w:rPr>
          <w:sz w:val="20"/>
          <w:szCs w:val="20"/>
        </w:rPr>
        <w:t xml:space="preserve"> concerning participatory budgeting</w:t>
      </w:r>
      <w:r>
        <w:rPr>
          <w:sz w:val="20"/>
          <w:szCs w:val="20"/>
        </w:rPr>
        <w:t xml:space="preserve">, please see </w:t>
      </w:r>
      <w:r w:rsidR="00E321C7">
        <w:rPr>
          <w:sz w:val="20"/>
          <w:szCs w:val="20"/>
        </w:rPr>
        <w:t>Gordon (2014) and Wong (2017).</w:t>
      </w:r>
    </w:p>
    <w:p w14:paraId="755AF162" w14:textId="77777777" w:rsidR="00262A21" w:rsidRPr="00262A21" w:rsidRDefault="00262A21" w:rsidP="00262A21">
      <w:pPr>
        <w:pStyle w:val="ListParagraph"/>
        <w:rPr>
          <w:sz w:val="20"/>
          <w:szCs w:val="20"/>
        </w:rPr>
      </w:pPr>
    </w:p>
    <w:p w14:paraId="2429DEF4" w14:textId="210E1C6D" w:rsidR="00262A21" w:rsidRDefault="00262A21" w:rsidP="0089772F">
      <w:pPr>
        <w:pStyle w:val="ListParagraph"/>
        <w:numPr>
          <w:ilvl w:val="0"/>
          <w:numId w:val="22"/>
        </w:numPr>
        <w:jc w:val="both"/>
        <w:rPr>
          <w:sz w:val="20"/>
          <w:szCs w:val="20"/>
        </w:rPr>
      </w:pPr>
      <w:r>
        <w:rPr>
          <w:sz w:val="20"/>
          <w:szCs w:val="20"/>
        </w:rPr>
        <w:t>For a brief discussion of local government budget intermediation groups, see The Wellesley Institute (2012).</w:t>
      </w:r>
    </w:p>
    <w:p w14:paraId="0894D5DA" w14:textId="77777777" w:rsidR="0048202F" w:rsidRPr="0048202F" w:rsidRDefault="0048202F" w:rsidP="0048202F">
      <w:pPr>
        <w:pStyle w:val="ListParagraph"/>
        <w:rPr>
          <w:sz w:val="20"/>
          <w:szCs w:val="20"/>
        </w:rPr>
      </w:pPr>
    </w:p>
    <w:p w14:paraId="356541AA" w14:textId="3F02A98D" w:rsidR="0048202F" w:rsidRDefault="0048202F" w:rsidP="0089772F">
      <w:pPr>
        <w:pStyle w:val="ListParagraph"/>
        <w:numPr>
          <w:ilvl w:val="0"/>
          <w:numId w:val="22"/>
        </w:numPr>
        <w:jc w:val="both"/>
        <w:rPr>
          <w:sz w:val="20"/>
          <w:szCs w:val="20"/>
        </w:rPr>
      </w:pPr>
      <w:r>
        <w:rPr>
          <w:sz w:val="20"/>
          <w:szCs w:val="20"/>
        </w:rPr>
        <w:t>Creating power sharing two-way transparency would necessarily involve altering incentive structures for administrators and elected officials. A discussion of this process is beyond the purview of this paper. For a brief discussion, please see World Bank (2017).</w:t>
      </w:r>
    </w:p>
    <w:p w14:paraId="36883C0A" w14:textId="77777777" w:rsidR="006B63CA" w:rsidRPr="006B63CA" w:rsidRDefault="006B63CA" w:rsidP="006B63CA">
      <w:pPr>
        <w:pStyle w:val="ListParagraph"/>
        <w:rPr>
          <w:sz w:val="20"/>
          <w:szCs w:val="20"/>
        </w:rPr>
      </w:pPr>
    </w:p>
    <w:p w14:paraId="408B2E9E" w14:textId="3B97693D" w:rsidR="006B63CA" w:rsidRPr="008175C5" w:rsidRDefault="006B63CA" w:rsidP="0089772F">
      <w:pPr>
        <w:pStyle w:val="ListParagraph"/>
        <w:numPr>
          <w:ilvl w:val="0"/>
          <w:numId w:val="22"/>
        </w:numPr>
        <w:jc w:val="both"/>
        <w:rPr>
          <w:sz w:val="20"/>
          <w:szCs w:val="20"/>
        </w:rPr>
      </w:pPr>
      <w:r>
        <w:rPr>
          <w:sz w:val="20"/>
          <w:szCs w:val="20"/>
        </w:rPr>
        <w:t>One way to build upon experience gained to date with participatory budgeting, budget intermediation, and implementing wellbeing programs would be to identify a specific wellbeing factor that a jurisdiction wants to improve in a particular area/neighborhood, make available a specified amount of City funds</w:t>
      </w:r>
      <w:r w:rsidR="00D062AA">
        <w:rPr>
          <w:sz w:val="20"/>
          <w:szCs w:val="20"/>
        </w:rPr>
        <w:t xml:space="preserve"> to the citizens of that area/neighborhood</w:t>
      </w:r>
      <w:r>
        <w:rPr>
          <w:sz w:val="20"/>
          <w:szCs w:val="20"/>
        </w:rPr>
        <w:t xml:space="preserve">, and use a budget intermediation group to assist </w:t>
      </w:r>
      <w:r w:rsidR="00D062AA">
        <w:rPr>
          <w:sz w:val="20"/>
          <w:szCs w:val="20"/>
        </w:rPr>
        <w:t xml:space="preserve">those </w:t>
      </w:r>
      <w:r>
        <w:rPr>
          <w:sz w:val="20"/>
          <w:szCs w:val="20"/>
        </w:rPr>
        <w:t xml:space="preserve">citizens in that </w:t>
      </w:r>
      <w:r>
        <w:rPr>
          <w:sz w:val="20"/>
          <w:szCs w:val="20"/>
        </w:rPr>
        <w:lastRenderedPageBreak/>
        <w:t xml:space="preserve">area/neighborhood to determine how the funding would be used. City staff would provide appropriate oversight of the process and technical </w:t>
      </w:r>
      <w:r w:rsidR="00A43BC9">
        <w:rPr>
          <w:sz w:val="20"/>
          <w:szCs w:val="20"/>
        </w:rPr>
        <w:t xml:space="preserve">advice, as requested by citizens. </w:t>
      </w:r>
    </w:p>
    <w:p w14:paraId="22A4045B" w14:textId="77777777" w:rsidR="007921B7" w:rsidRPr="008175C5" w:rsidRDefault="007921B7" w:rsidP="00973746">
      <w:pPr>
        <w:spacing w:line="240" w:lineRule="auto"/>
        <w:jc w:val="both"/>
        <w:rPr>
          <w:rFonts w:ascii="Times New Roman" w:hAnsi="Times New Roman" w:cs="Times New Roman"/>
          <w:b/>
          <w:sz w:val="20"/>
          <w:szCs w:val="20"/>
          <w:u w:val="single"/>
        </w:rPr>
      </w:pPr>
    </w:p>
    <w:p w14:paraId="202CCB45" w14:textId="77777777" w:rsidR="00143554" w:rsidRDefault="00143554" w:rsidP="002B1D1A">
      <w:pPr>
        <w:rPr>
          <w:rFonts w:ascii="Times New Roman" w:hAnsi="Times New Roman" w:cs="Times New Roman"/>
          <w:b/>
          <w:sz w:val="20"/>
          <w:szCs w:val="20"/>
          <w:u w:val="single"/>
        </w:rPr>
      </w:pPr>
    </w:p>
    <w:p w14:paraId="73658527" w14:textId="62102373" w:rsidR="00FD15DF" w:rsidRPr="002B1D1A" w:rsidRDefault="00217A59" w:rsidP="002B1D1A">
      <w:pPr>
        <w:rPr>
          <w:rFonts w:ascii="Times New Roman" w:hAnsi="Times New Roman" w:cs="Times New Roman"/>
          <w:b/>
          <w:sz w:val="20"/>
          <w:szCs w:val="20"/>
          <w:u w:val="single"/>
        </w:rPr>
      </w:pPr>
      <w:r w:rsidRPr="008175C5">
        <w:rPr>
          <w:rFonts w:ascii="Times New Roman" w:hAnsi="Times New Roman" w:cs="Times New Roman"/>
          <w:b/>
          <w:sz w:val="20"/>
          <w:szCs w:val="20"/>
          <w:u w:val="single"/>
        </w:rPr>
        <w:t>References</w:t>
      </w:r>
    </w:p>
    <w:p w14:paraId="4A0A3F7B" w14:textId="4717B307" w:rsidR="008D363E" w:rsidRPr="008175C5" w:rsidRDefault="008D363E" w:rsidP="00973746">
      <w:pPr>
        <w:spacing w:after="0" w:line="240" w:lineRule="auto"/>
        <w:jc w:val="both"/>
        <w:rPr>
          <w:rFonts w:ascii="Times New Roman" w:hAnsi="Times New Roman" w:cs="Times New Roman"/>
          <w:i/>
          <w:sz w:val="20"/>
          <w:szCs w:val="20"/>
        </w:rPr>
      </w:pPr>
      <w:r w:rsidRPr="008175C5">
        <w:rPr>
          <w:rFonts w:ascii="Times New Roman" w:hAnsi="Times New Roman" w:cs="Times New Roman"/>
          <w:sz w:val="20"/>
          <w:szCs w:val="20"/>
        </w:rPr>
        <w:t>Bidadanure, Juliana, Sean Kline, Camille Moore, Brooks Rainwater, and Catherine Thomas, “Basic Income in Cities: A Guide to City Experiments and Pilot Projects,” National League of Cities Basic Income Lab, October 29, 2018</w:t>
      </w:r>
      <w:r w:rsidRPr="008175C5">
        <w:rPr>
          <w:rFonts w:ascii="Times New Roman" w:hAnsi="Times New Roman" w:cs="Times New Roman"/>
          <w:i/>
          <w:sz w:val="20"/>
          <w:szCs w:val="20"/>
        </w:rPr>
        <w:t>.</w:t>
      </w:r>
    </w:p>
    <w:p w14:paraId="733BFB8A" w14:textId="5F2DE1D4" w:rsidR="008E0831" w:rsidRPr="008175C5" w:rsidRDefault="008E0831" w:rsidP="00973746">
      <w:pPr>
        <w:spacing w:after="0" w:line="240" w:lineRule="auto"/>
        <w:jc w:val="both"/>
        <w:rPr>
          <w:rFonts w:ascii="Times New Roman" w:hAnsi="Times New Roman" w:cs="Times New Roman"/>
          <w:i/>
          <w:sz w:val="20"/>
          <w:szCs w:val="20"/>
        </w:rPr>
      </w:pPr>
    </w:p>
    <w:p w14:paraId="7E3D763A" w14:textId="7EEFDDE7" w:rsidR="008E0831" w:rsidRPr="008175C5" w:rsidRDefault="008E0831" w:rsidP="00952F51">
      <w:pPr>
        <w:spacing w:line="240" w:lineRule="auto"/>
        <w:jc w:val="both"/>
        <w:rPr>
          <w:rFonts w:ascii="Times New Roman" w:hAnsi="Times New Roman" w:cs="Times New Roman"/>
          <w:sz w:val="20"/>
          <w:szCs w:val="20"/>
        </w:rPr>
      </w:pPr>
      <w:r w:rsidRPr="008175C5">
        <w:rPr>
          <w:rFonts w:ascii="Times New Roman" w:hAnsi="Times New Roman" w:cs="Times New Roman"/>
          <w:sz w:val="20"/>
          <w:szCs w:val="20"/>
        </w:rPr>
        <w:t>Brunton, Colnar, “Towards and Open Budget: Qualitative Report and Understanding Stakeholders Views on How New Zealand’s Budget Could be More Assessible,” May, 2017.</w:t>
      </w:r>
    </w:p>
    <w:p w14:paraId="3F9825FE" w14:textId="68AD7239" w:rsidR="008E0831" w:rsidRPr="008175C5" w:rsidRDefault="008E0831" w:rsidP="00952F51">
      <w:pPr>
        <w:spacing w:line="240" w:lineRule="auto"/>
        <w:contextualSpacing/>
        <w:rPr>
          <w:rFonts w:ascii="Times New Roman" w:eastAsia="Times New Roman" w:hAnsi="Times New Roman" w:cs="Times New Roman"/>
          <w:sz w:val="20"/>
          <w:szCs w:val="20"/>
        </w:rPr>
      </w:pPr>
      <w:r w:rsidRPr="008175C5">
        <w:rPr>
          <w:rFonts w:ascii="Times New Roman" w:eastAsia="Times New Roman" w:hAnsi="Times New Roman" w:cs="Times New Roman"/>
          <w:sz w:val="20"/>
          <w:szCs w:val="20"/>
        </w:rPr>
        <w:t xml:space="preserve">Caiden, Naomi, “Challenges Confronting Contemporary Public Budgeting: Retrospectives/Prospectives from Allen Schick,” </w:t>
      </w:r>
      <w:r w:rsidRPr="008175C5">
        <w:rPr>
          <w:rFonts w:ascii="Times New Roman" w:eastAsia="Times New Roman" w:hAnsi="Times New Roman" w:cs="Times New Roman"/>
          <w:sz w:val="20"/>
          <w:szCs w:val="20"/>
          <w:u w:val="single"/>
        </w:rPr>
        <w:t>Public Administration Review</w:t>
      </w:r>
      <w:r w:rsidRPr="008175C5">
        <w:rPr>
          <w:rFonts w:ascii="Times New Roman" w:eastAsia="Times New Roman" w:hAnsi="Times New Roman" w:cs="Times New Roman"/>
          <w:sz w:val="20"/>
          <w:szCs w:val="20"/>
        </w:rPr>
        <w:t xml:space="preserve"> (March/April 2010).</w:t>
      </w:r>
    </w:p>
    <w:p w14:paraId="6103D5BD" w14:textId="6B2B961D" w:rsidR="008E0831" w:rsidRPr="008175C5" w:rsidRDefault="008E0831" w:rsidP="008E0831">
      <w:pPr>
        <w:spacing w:line="240" w:lineRule="auto"/>
        <w:contextualSpacing/>
        <w:rPr>
          <w:rFonts w:ascii="Times New Roman" w:eastAsia="Times New Roman" w:hAnsi="Times New Roman" w:cs="Times New Roman"/>
          <w:sz w:val="20"/>
          <w:szCs w:val="20"/>
        </w:rPr>
      </w:pPr>
    </w:p>
    <w:p w14:paraId="7D589486" w14:textId="3CF84CC7" w:rsidR="008E0831" w:rsidRPr="008175C5" w:rsidRDefault="008E0831" w:rsidP="008E0831">
      <w:pPr>
        <w:spacing w:after="0" w:line="240" w:lineRule="auto"/>
        <w:jc w:val="both"/>
        <w:rPr>
          <w:rFonts w:ascii="Times New Roman" w:hAnsi="Times New Roman" w:cs="Times New Roman"/>
          <w:sz w:val="20"/>
          <w:szCs w:val="20"/>
        </w:rPr>
      </w:pPr>
      <w:r w:rsidRPr="008175C5">
        <w:rPr>
          <w:rFonts w:ascii="Times New Roman" w:hAnsi="Times New Roman" w:cs="Times New Roman"/>
          <w:sz w:val="20"/>
          <w:szCs w:val="20"/>
        </w:rPr>
        <w:t xml:space="preserve">Coughlan, Thomas, “What Will the Wellbeing Budget Change?” </w:t>
      </w:r>
      <w:r w:rsidRPr="008175C5">
        <w:rPr>
          <w:rFonts w:ascii="Times New Roman" w:hAnsi="Times New Roman" w:cs="Times New Roman"/>
          <w:sz w:val="20"/>
          <w:szCs w:val="20"/>
          <w:u w:val="single"/>
        </w:rPr>
        <w:t>Newsroom</w:t>
      </w:r>
      <w:r w:rsidRPr="008175C5">
        <w:rPr>
          <w:rFonts w:ascii="Times New Roman" w:hAnsi="Times New Roman" w:cs="Times New Roman"/>
          <w:sz w:val="20"/>
          <w:szCs w:val="20"/>
        </w:rPr>
        <w:t>, September 6, 2018.</w:t>
      </w:r>
    </w:p>
    <w:p w14:paraId="1CA638C6" w14:textId="2FDCCC89" w:rsidR="008E0831" w:rsidRPr="008175C5" w:rsidRDefault="008E0831" w:rsidP="008E0831">
      <w:pPr>
        <w:spacing w:after="0" w:line="240" w:lineRule="auto"/>
        <w:jc w:val="both"/>
        <w:rPr>
          <w:rFonts w:ascii="Times New Roman" w:hAnsi="Times New Roman" w:cs="Times New Roman"/>
          <w:sz w:val="20"/>
          <w:szCs w:val="20"/>
        </w:rPr>
      </w:pPr>
    </w:p>
    <w:p w14:paraId="022ACA4E" w14:textId="5320D92F" w:rsidR="008E0831" w:rsidRPr="008175C5" w:rsidRDefault="008E0831" w:rsidP="008E0831">
      <w:pPr>
        <w:spacing w:line="240" w:lineRule="auto"/>
        <w:rPr>
          <w:rFonts w:ascii="Times New Roman" w:hAnsi="Times New Roman" w:cs="Times New Roman"/>
          <w:sz w:val="20"/>
          <w:szCs w:val="20"/>
        </w:rPr>
      </w:pPr>
      <w:r w:rsidRPr="008175C5">
        <w:rPr>
          <w:rFonts w:ascii="Times New Roman" w:hAnsi="Times New Roman" w:cs="Times New Roman"/>
          <w:sz w:val="20"/>
          <w:szCs w:val="20"/>
        </w:rPr>
        <w:t xml:space="preserve">Dennis, Charles M., “Mutually Supportive Interaction or Delimitation—Alternative Theories for Social Systems Design,” </w:t>
      </w:r>
      <w:r w:rsidRPr="008175C5">
        <w:rPr>
          <w:rFonts w:ascii="Times New Roman" w:hAnsi="Times New Roman" w:cs="Times New Roman"/>
          <w:sz w:val="20"/>
          <w:szCs w:val="20"/>
          <w:u w:val="single"/>
        </w:rPr>
        <w:t>Administration &amp; Society</w:t>
      </w:r>
      <w:r w:rsidRPr="008175C5">
        <w:rPr>
          <w:rFonts w:ascii="Times New Roman" w:hAnsi="Times New Roman" w:cs="Times New Roman"/>
          <w:sz w:val="20"/>
          <w:szCs w:val="20"/>
        </w:rPr>
        <w:t>, Vol. 10 No. 3, November 1978.</w:t>
      </w:r>
    </w:p>
    <w:p w14:paraId="134B6D01" w14:textId="56492626" w:rsidR="008E0831" w:rsidRPr="008175C5" w:rsidRDefault="008E0831" w:rsidP="008E0831">
      <w:pPr>
        <w:spacing w:after="0" w:line="240" w:lineRule="auto"/>
        <w:jc w:val="both"/>
        <w:rPr>
          <w:rFonts w:ascii="Times New Roman" w:hAnsi="Times New Roman" w:cs="Times New Roman"/>
          <w:sz w:val="20"/>
          <w:szCs w:val="20"/>
        </w:rPr>
      </w:pPr>
      <w:r w:rsidRPr="008175C5">
        <w:rPr>
          <w:rFonts w:ascii="Times New Roman" w:hAnsi="Times New Roman" w:cs="Times New Roman"/>
          <w:sz w:val="20"/>
          <w:szCs w:val="20"/>
        </w:rPr>
        <w:t>Dennis, Charles M., “Beyond ‘Root’ and ‘Branch’: Towards a New Science of Policy Making</w:t>
      </w:r>
      <w:r w:rsidR="00073AF0" w:rsidRPr="008175C5">
        <w:rPr>
          <w:rFonts w:ascii="Times New Roman" w:hAnsi="Times New Roman" w:cs="Times New Roman"/>
          <w:sz w:val="20"/>
          <w:szCs w:val="20"/>
        </w:rPr>
        <w:t xml:space="preserve"> [Alem da “raiz” e “ramescencia”: por uma nova ciencia para a fotmulacao de politicas publicas]</w:t>
      </w:r>
      <w:r w:rsidRPr="008175C5">
        <w:rPr>
          <w:rFonts w:ascii="Times New Roman" w:hAnsi="Times New Roman" w:cs="Times New Roman"/>
          <w:sz w:val="20"/>
          <w:szCs w:val="20"/>
        </w:rPr>
        <w:t xml:space="preserve">,” in </w:t>
      </w:r>
      <w:r w:rsidRPr="008175C5">
        <w:rPr>
          <w:rFonts w:ascii="Times New Roman" w:hAnsi="Times New Roman" w:cs="Times New Roman"/>
          <w:sz w:val="20"/>
          <w:szCs w:val="20"/>
          <w:u w:val="single"/>
        </w:rPr>
        <w:t>Public Policy and Development: epistemological grounds and framework for analysis [Politicas Publicas E Desenvolvimento: bases epistemologicas e modelos de Analisa</w:t>
      </w:r>
      <w:r w:rsidRPr="008175C5">
        <w:rPr>
          <w:rFonts w:ascii="Times New Roman" w:hAnsi="Times New Roman" w:cs="Times New Roman"/>
          <w:sz w:val="20"/>
          <w:szCs w:val="20"/>
        </w:rPr>
        <w:t>], by Francisco G. Heidemann and Jose Francisco Salm, 2006.</w:t>
      </w:r>
    </w:p>
    <w:p w14:paraId="0A057D1D" w14:textId="0F9D861A" w:rsidR="008E0831" w:rsidRPr="008175C5" w:rsidRDefault="008E0831" w:rsidP="008E0831">
      <w:pPr>
        <w:spacing w:after="0" w:line="240" w:lineRule="auto"/>
        <w:jc w:val="both"/>
        <w:rPr>
          <w:rFonts w:ascii="Times New Roman" w:hAnsi="Times New Roman" w:cs="Times New Roman"/>
          <w:sz w:val="20"/>
          <w:szCs w:val="20"/>
        </w:rPr>
      </w:pPr>
    </w:p>
    <w:p w14:paraId="6E3E0E9F" w14:textId="14B7D3E8" w:rsidR="008E0831" w:rsidRPr="008175C5" w:rsidRDefault="008E0831" w:rsidP="008E0831">
      <w:pPr>
        <w:spacing w:line="240" w:lineRule="auto"/>
        <w:rPr>
          <w:rFonts w:ascii="Times New Roman" w:hAnsi="Times New Roman" w:cs="Times New Roman"/>
          <w:sz w:val="20"/>
          <w:szCs w:val="20"/>
        </w:rPr>
      </w:pPr>
      <w:r w:rsidRPr="008175C5">
        <w:rPr>
          <w:rFonts w:ascii="Times New Roman" w:hAnsi="Times New Roman" w:cs="Times New Roman"/>
          <w:sz w:val="20"/>
          <w:szCs w:val="20"/>
        </w:rPr>
        <w:t xml:space="preserve">DijK, Teun A. van, “Chapter 7—Political Discourse and Political Cognition,” </w:t>
      </w:r>
      <w:r w:rsidRPr="008175C5">
        <w:rPr>
          <w:rFonts w:ascii="Times New Roman" w:hAnsi="Times New Roman" w:cs="Times New Roman"/>
          <w:sz w:val="20"/>
          <w:szCs w:val="20"/>
          <w:u w:val="single"/>
        </w:rPr>
        <w:t xml:space="preserve">Politics as Text and Talk: Analytical Approaches to Political Discourse </w:t>
      </w:r>
      <w:r w:rsidRPr="008175C5">
        <w:rPr>
          <w:rFonts w:ascii="Times New Roman" w:hAnsi="Times New Roman" w:cs="Times New Roman"/>
          <w:sz w:val="20"/>
          <w:szCs w:val="20"/>
        </w:rPr>
        <w:t>by Paul A. Chilton and Christine Schaffner, 2002.</w:t>
      </w:r>
    </w:p>
    <w:p w14:paraId="6EE8CD40" w14:textId="3166A057" w:rsidR="008E0831" w:rsidRPr="008175C5" w:rsidRDefault="008E0831" w:rsidP="008E0831">
      <w:pPr>
        <w:spacing w:line="240" w:lineRule="auto"/>
        <w:rPr>
          <w:rFonts w:ascii="Times New Roman" w:eastAsia="Times New Roman" w:hAnsi="Times New Roman" w:cs="Times New Roman"/>
          <w:sz w:val="20"/>
          <w:szCs w:val="20"/>
        </w:rPr>
      </w:pPr>
      <w:r w:rsidRPr="008175C5">
        <w:rPr>
          <w:rFonts w:ascii="Times New Roman" w:eastAsia="Times New Roman" w:hAnsi="Times New Roman" w:cs="Times New Roman"/>
          <w:sz w:val="20"/>
          <w:szCs w:val="20"/>
        </w:rPr>
        <w:t xml:space="preserve">Ebdon, Carol and Aimee L. Franklin, “Citizen Participation in Budgeting Theory,” </w:t>
      </w:r>
      <w:r w:rsidRPr="008175C5">
        <w:rPr>
          <w:rFonts w:ascii="Times New Roman" w:eastAsia="Times New Roman" w:hAnsi="Times New Roman" w:cs="Times New Roman"/>
          <w:sz w:val="20"/>
          <w:szCs w:val="20"/>
          <w:u w:val="single"/>
        </w:rPr>
        <w:t>Public Administration Review</w:t>
      </w:r>
      <w:r w:rsidRPr="008175C5">
        <w:rPr>
          <w:rFonts w:ascii="Times New Roman" w:eastAsia="Times New Roman" w:hAnsi="Times New Roman" w:cs="Times New Roman"/>
          <w:sz w:val="20"/>
          <w:szCs w:val="20"/>
        </w:rPr>
        <w:t xml:space="preserve"> (May/June 2006).</w:t>
      </w:r>
    </w:p>
    <w:p w14:paraId="3BAF088D" w14:textId="0DEABAE7" w:rsidR="008E0831" w:rsidRPr="008175C5" w:rsidRDefault="008E0831" w:rsidP="008E0831">
      <w:pPr>
        <w:spacing w:line="240" w:lineRule="auto"/>
        <w:rPr>
          <w:rFonts w:ascii="Times New Roman" w:hAnsi="Times New Roman" w:cs="Times New Roman"/>
          <w:sz w:val="20"/>
          <w:szCs w:val="20"/>
        </w:rPr>
      </w:pPr>
      <w:r w:rsidRPr="008175C5">
        <w:rPr>
          <w:rFonts w:ascii="Times New Roman" w:hAnsi="Times New Roman" w:cs="Times New Roman"/>
          <w:sz w:val="20"/>
          <w:szCs w:val="20"/>
        </w:rPr>
        <w:t xml:space="preserve">Fung, Archon "Putting the Public Back into Governance: The Challenge of Citizen Participation and Its Future," </w:t>
      </w:r>
      <w:r w:rsidRPr="008175C5">
        <w:rPr>
          <w:rFonts w:ascii="Times New Roman" w:hAnsi="Times New Roman" w:cs="Times New Roman"/>
          <w:sz w:val="20"/>
          <w:szCs w:val="20"/>
          <w:u w:val="single"/>
        </w:rPr>
        <w:t>Public Administration Review</w:t>
      </w:r>
      <w:r w:rsidRPr="008175C5">
        <w:rPr>
          <w:rFonts w:ascii="Times New Roman" w:hAnsi="Times New Roman" w:cs="Times New Roman"/>
          <w:sz w:val="20"/>
          <w:szCs w:val="20"/>
        </w:rPr>
        <w:t xml:space="preserve"> (July/August 2015), pp. 513-522.</w:t>
      </w:r>
    </w:p>
    <w:p w14:paraId="314FDF4D" w14:textId="7BD12BAB" w:rsidR="008E0831" w:rsidRDefault="008E0831" w:rsidP="008E0831">
      <w:pPr>
        <w:spacing w:line="240" w:lineRule="auto"/>
        <w:contextualSpacing/>
        <w:rPr>
          <w:rFonts w:ascii="Times New Roman" w:eastAsia="Times New Roman" w:hAnsi="Times New Roman" w:cs="Times New Roman"/>
          <w:sz w:val="20"/>
          <w:szCs w:val="20"/>
        </w:rPr>
      </w:pPr>
      <w:r w:rsidRPr="008175C5">
        <w:rPr>
          <w:rFonts w:ascii="Times New Roman" w:eastAsia="Times New Roman" w:hAnsi="Times New Roman" w:cs="Times New Roman"/>
          <w:sz w:val="20"/>
          <w:szCs w:val="20"/>
        </w:rPr>
        <w:t xml:space="preserve">Goldsmith, Stephen and Jane Wiseman, “Can Well-Being Define What Government Does?” </w:t>
      </w:r>
      <w:r w:rsidRPr="008175C5">
        <w:rPr>
          <w:rFonts w:ascii="Times New Roman" w:eastAsia="Times New Roman" w:hAnsi="Times New Roman" w:cs="Times New Roman"/>
          <w:sz w:val="20"/>
          <w:szCs w:val="20"/>
          <w:u w:val="single"/>
        </w:rPr>
        <w:t xml:space="preserve">Government Finance Review </w:t>
      </w:r>
      <w:r w:rsidRPr="008175C5">
        <w:rPr>
          <w:rFonts w:ascii="Times New Roman" w:eastAsia="Times New Roman" w:hAnsi="Times New Roman" w:cs="Times New Roman"/>
          <w:sz w:val="20"/>
          <w:szCs w:val="20"/>
        </w:rPr>
        <w:t>(December 2017).</w:t>
      </w:r>
    </w:p>
    <w:p w14:paraId="22854103" w14:textId="6D1BD1F3" w:rsidR="00E321C7" w:rsidRDefault="00E321C7" w:rsidP="008E0831">
      <w:pPr>
        <w:spacing w:line="240" w:lineRule="auto"/>
        <w:contextualSpacing/>
        <w:rPr>
          <w:rFonts w:ascii="Times New Roman" w:eastAsia="Times New Roman" w:hAnsi="Times New Roman" w:cs="Times New Roman"/>
          <w:sz w:val="20"/>
          <w:szCs w:val="20"/>
        </w:rPr>
      </w:pPr>
    </w:p>
    <w:p w14:paraId="5F524A84" w14:textId="126679F3" w:rsidR="00E321C7" w:rsidRPr="00E321C7" w:rsidRDefault="00E321C7" w:rsidP="008E0831">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Gordon, Victoria, </w:t>
      </w:r>
      <w:r>
        <w:rPr>
          <w:rFonts w:ascii="Times New Roman" w:eastAsia="Times New Roman" w:hAnsi="Times New Roman" w:cs="Times New Roman"/>
          <w:sz w:val="20"/>
          <w:szCs w:val="20"/>
          <w:u w:val="single"/>
        </w:rPr>
        <w:t>Participatory Budgeting: Ten Actions to Engage Citizens Via Social Media</w:t>
      </w:r>
      <w:r>
        <w:rPr>
          <w:rFonts w:ascii="Times New Roman" w:eastAsia="Times New Roman" w:hAnsi="Times New Roman" w:cs="Times New Roman"/>
          <w:sz w:val="20"/>
          <w:szCs w:val="20"/>
        </w:rPr>
        <w:t>, IBM Center for The Business of Government, Using Technology Series, September 4, 2014.</w:t>
      </w:r>
    </w:p>
    <w:p w14:paraId="2500FFA0" w14:textId="325B6AAD" w:rsidR="008E0831" w:rsidRPr="008175C5" w:rsidRDefault="008E0831" w:rsidP="008E0831">
      <w:pPr>
        <w:spacing w:line="240" w:lineRule="auto"/>
        <w:contextualSpacing/>
        <w:rPr>
          <w:rFonts w:ascii="Times New Roman" w:eastAsia="Times New Roman" w:hAnsi="Times New Roman" w:cs="Times New Roman"/>
          <w:sz w:val="20"/>
          <w:szCs w:val="20"/>
        </w:rPr>
      </w:pPr>
    </w:p>
    <w:p w14:paraId="4D36B6B4" w14:textId="33BE8D3D" w:rsidR="008E0831" w:rsidRPr="008175C5" w:rsidRDefault="008E0831" w:rsidP="008E0831">
      <w:pPr>
        <w:spacing w:line="240" w:lineRule="auto"/>
        <w:rPr>
          <w:rFonts w:ascii="Times New Roman" w:eastAsia="Times New Roman" w:hAnsi="Times New Roman" w:cs="Times New Roman"/>
          <w:sz w:val="20"/>
          <w:szCs w:val="20"/>
        </w:rPr>
      </w:pPr>
      <w:r w:rsidRPr="008175C5">
        <w:rPr>
          <w:rFonts w:ascii="Times New Roman" w:eastAsia="Times New Roman" w:hAnsi="Times New Roman" w:cs="Times New Roman"/>
          <w:sz w:val="20"/>
          <w:szCs w:val="20"/>
        </w:rPr>
        <w:t>Government Finance Officers Association, “Public Engagement in the Budget Process [Best Practice],” September 2018.</w:t>
      </w:r>
    </w:p>
    <w:p w14:paraId="37B309D4" w14:textId="7EDE4D37" w:rsidR="008E0831" w:rsidRDefault="008E0831" w:rsidP="008E0831">
      <w:pPr>
        <w:spacing w:after="0" w:line="240" w:lineRule="auto"/>
        <w:rPr>
          <w:rFonts w:ascii="Times New Roman" w:eastAsia="Times New Roman" w:hAnsi="Times New Roman" w:cs="Times New Roman"/>
          <w:sz w:val="20"/>
          <w:szCs w:val="20"/>
        </w:rPr>
      </w:pPr>
      <w:r w:rsidRPr="008175C5">
        <w:rPr>
          <w:rFonts w:ascii="Times New Roman" w:eastAsia="Times New Roman" w:hAnsi="Times New Roman" w:cs="Times New Roman"/>
          <w:sz w:val="20"/>
          <w:szCs w:val="20"/>
        </w:rPr>
        <w:t xml:space="preserve">Haggard, Ellen, “The National Wellbeing Programme, Eight Years On,” </w:t>
      </w:r>
      <w:r w:rsidRPr="008175C5">
        <w:rPr>
          <w:rFonts w:ascii="Times New Roman" w:eastAsia="Times New Roman" w:hAnsi="Times New Roman" w:cs="Times New Roman"/>
          <w:sz w:val="20"/>
          <w:szCs w:val="20"/>
          <w:u w:val="single"/>
        </w:rPr>
        <w:t>Happiful Magazine</w:t>
      </w:r>
      <w:r w:rsidRPr="008175C5">
        <w:rPr>
          <w:rFonts w:ascii="Times New Roman" w:eastAsia="Times New Roman" w:hAnsi="Times New Roman" w:cs="Times New Roman"/>
          <w:sz w:val="20"/>
          <w:szCs w:val="20"/>
        </w:rPr>
        <w:t>, April 26, 2018.</w:t>
      </w:r>
    </w:p>
    <w:p w14:paraId="31452EF1" w14:textId="4626A60C" w:rsidR="00682551" w:rsidRDefault="00682551" w:rsidP="008E0831">
      <w:pPr>
        <w:spacing w:after="0" w:line="240" w:lineRule="auto"/>
        <w:rPr>
          <w:rFonts w:ascii="Times New Roman" w:eastAsia="Times New Roman" w:hAnsi="Times New Roman" w:cs="Times New Roman"/>
          <w:sz w:val="20"/>
          <w:szCs w:val="20"/>
        </w:rPr>
      </w:pPr>
    </w:p>
    <w:p w14:paraId="53BCF3AC" w14:textId="56CE4F63" w:rsidR="00682551" w:rsidRPr="008175C5" w:rsidRDefault="00682551" w:rsidP="008E083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Hendricks, Alexandra-Yoon, “Will ‘Basic Income’ Become the California Norm? Stockton Starts $ 500 No Strings Payments,” Sacramento Bee, February 15, 2019.</w:t>
      </w:r>
    </w:p>
    <w:p w14:paraId="7816F4A0" w14:textId="23B3993C" w:rsidR="00973746" w:rsidRPr="008175C5" w:rsidRDefault="00973746" w:rsidP="008E0831">
      <w:pPr>
        <w:spacing w:after="0" w:line="240" w:lineRule="auto"/>
        <w:rPr>
          <w:rFonts w:ascii="Times New Roman" w:eastAsia="Times New Roman" w:hAnsi="Times New Roman" w:cs="Times New Roman"/>
          <w:sz w:val="20"/>
          <w:szCs w:val="20"/>
        </w:rPr>
      </w:pPr>
    </w:p>
    <w:p w14:paraId="3C0A570F" w14:textId="40C7C340" w:rsidR="00973746" w:rsidRPr="008175C5" w:rsidRDefault="00973746" w:rsidP="00952F51">
      <w:pPr>
        <w:spacing w:after="0" w:line="240" w:lineRule="auto"/>
        <w:rPr>
          <w:rFonts w:ascii="Times New Roman" w:hAnsi="Times New Roman" w:cs="Times New Roman"/>
          <w:sz w:val="20"/>
          <w:szCs w:val="20"/>
        </w:rPr>
      </w:pPr>
      <w:r w:rsidRPr="008175C5">
        <w:rPr>
          <w:rFonts w:ascii="Times New Roman" w:hAnsi="Times New Roman" w:cs="Times New Roman"/>
          <w:sz w:val="20"/>
          <w:szCs w:val="20"/>
        </w:rPr>
        <w:t xml:space="preserve">King Jr., Martin Luther, </w:t>
      </w:r>
      <w:r w:rsidRPr="008175C5">
        <w:rPr>
          <w:rFonts w:ascii="Times New Roman" w:hAnsi="Times New Roman" w:cs="Times New Roman"/>
          <w:sz w:val="20"/>
          <w:szCs w:val="20"/>
          <w:u w:val="single"/>
        </w:rPr>
        <w:t>Where Do We Go From Here: Chaos or Community?</w:t>
      </w:r>
      <w:r w:rsidR="00647043">
        <w:rPr>
          <w:rFonts w:ascii="Times New Roman" w:hAnsi="Times New Roman" w:cs="Times New Roman"/>
          <w:sz w:val="20"/>
          <w:szCs w:val="20"/>
          <w:u w:val="single"/>
        </w:rPr>
        <w:t xml:space="preserve"> </w:t>
      </w:r>
      <w:r w:rsidRPr="008175C5">
        <w:rPr>
          <w:rFonts w:ascii="Times New Roman" w:hAnsi="Times New Roman" w:cs="Times New Roman"/>
          <w:sz w:val="20"/>
          <w:szCs w:val="20"/>
        </w:rPr>
        <w:t>, 1968.</w:t>
      </w:r>
    </w:p>
    <w:p w14:paraId="21EE1AFB" w14:textId="468DC222" w:rsidR="00411535" w:rsidRPr="008175C5" w:rsidRDefault="00411535" w:rsidP="00952F51">
      <w:pPr>
        <w:spacing w:after="0" w:line="240" w:lineRule="auto"/>
        <w:rPr>
          <w:rFonts w:ascii="Times New Roman" w:eastAsia="Times New Roman" w:hAnsi="Times New Roman" w:cs="Times New Roman"/>
          <w:sz w:val="20"/>
          <w:szCs w:val="20"/>
        </w:rPr>
      </w:pPr>
    </w:p>
    <w:p w14:paraId="69034354" w14:textId="2F09F5CE" w:rsidR="00411535" w:rsidRPr="008175C5" w:rsidRDefault="00411535" w:rsidP="00952F51">
      <w:pPr>
        <w:spacing w:after="0" w:line="240" w:lineRule="auto"/>
        <w:contextualSpacing/>
        <w:rPr>
          <w:rFonts w:ascii="Times New Roman" w:eastAsia="Times New Roman" w:hAnsi="Times New Roman" w:cs="Times New Roman"/>
          <w:sz w:val="20"/>
          <w:szCs w:val="20"/>
        </w:rPr>
      </w:pPr>
      <w:r w:rsidRPr="008175C5">
        <w:rPr>
          <w:rFonts w:ascii="Times New Roman" w:eastAsia="Times New Roman" w:hAnsi="Times New Roman" w:cs="Times New Roman"/>
          <w:sz w:val="20"/>
          <w:szCs w:val="20"/>
        </w:rPr>
        <w:t xml:space="preserve">King, Cheryl Simrell, Kathryn M. Feltey, and Bridget O'Neill Susel, "The Question of Participation: Towards Authentic Public Participation in Public Administration," </w:t>
      </w:r>
      <w:r w:rsidRPr="008175C5">
        <w:rPr>
          <w:rFonts w:ascii="Times New Roman" w:eastAsia="Times New Roman" w:hAnsi="Times New Roman" w:cs="Times New Roman"/>
          <w:sz w:val="20"/>
          <w:szCs w:val="20"/>
          <w:u w:val="single"/>
        </w:rPr>
        <w:t>Public Administration Review</w:t>
      </w:r>
      <w:r w:rsidRPr="008175C5">
        <w:rPr>
          <w:rFonts w:ascii="Times New Roman" w:eastAsia="Times New Roman" w:hAnsi="Times New Roman" w:cs="Times New Roman"/>
          <w:sz w:val="20"/>
          <w:szCs w:val="20"/>
        </w:rPr>
        <w:t xml:space="preserve"> (July/August 1998).</w:t>
      </w:r>
    </w:p>
    <w:p w14:paraId="2C27B87A" w14:textId="0ADCF598" w:rsidR="00157043" w:rsidRPr="008175C5" w:rsidRDefault="00157043" w:rsidP="00952F51">
      <w:pPr>
        <w:spacing w:after="0" w:line="240" w:lineRule="auto"/>
        <w:contextualSpacing/>
        <w:rPr>
          <w:rFonts w:ascii="Times New Roman" w:eastAsia="Times New Roman" w:hAnsi="Times New Roman" w:cs="Times New Roman"/>
          <w:sz w:val="20"/>
          <w:szCs w:val="20"/>
        </w:rPr>
      </w:pPr>
    </w:p>
    <w:p w14:paraId="59C67074" w14:textId="6F9F9346" w:rsidR="00157043" w:rsidRDefault="00157043" w:rsidP="00952F51">
      <w:pPr>
        <w:spacing w:after="0" w:line="240" w:lineRule="auto"/>
        <w:contextualSpacing/>
        <w:rPr>
          <w:rFonts w:ascii="Times New Roman" w:eastAsia="Times New Roman" w:hAnsi="Times New Roman" w:cs="Times New Roman"/>
          <w:sz w:val="20"/>
          <w:szCs w:val="20"/>
        </w:rPr>
      </w:pPr>
      <w:r w:rsidRPr="008175C5">
        <w:rPr>
          <w:rFonts w:ascii="Times New Roman" w:eastAsia="Times New Roman" w:hAnsi="Times New Roman" w:cs="Times New Roman"/>
          <w:sz w:val="20"/>
          <w:szCs w:val="20"/>
        </w:rPr>
        <w:t xml:space="preserve">Kuhn, Thomas S, </w:t>
      </w:r>
      <w:r w:rsidRPr="008175C5">
        <w:rPr>
          <w:rFonts w:ascii="Times New Roman" w:eastAsia="Times New Roman" w:hAnsi="Times New Roman" w:cs="Times New Roman"/>
          <w:sz w:val="20"/>
          <w:szCs w:val="20"/>
          <w:u w:val="single"/>
        </w:rPr>
        <w:t>The Structure of Scientific Revolutions</w:t>
      </w:r>
      <w:r w:rsidRPr="008175C5">
        <w:rPr>
          <w:rFonts w:ascii="Times New Roman" w:eastAsia="Times New Roman" w:hAnsi="Times New Roman" w:cs="Times New Roman"/>
          <w:sz w:val="20"/>
          <w:szCs w:val="20"/>
        </w:rPr>
        <w:t>, 1970 (Second Edition)</w:t>
      </w:r>
    </w:p>
    <w:p w14:paraId="57E1D678" w14:textId="0DEDA51F" w:rsidR="00E11BF0" w:rsidRDefault="00E11BF0" w:rsidP="00952F51">
      <w:pPr>
        <w:spacing w:after="0" w:line="240" w:lineRule="auto"/>
        <w:contextualSpacing/>
        <w:rPr>
          <w:rFonts w:ascii="Times New Roman" w:eastAsia="Times New Roman" w:hAnsi="Times New Roman" w:cs="Times New Roman"/>
          <w:sz w:val="20"/>
          <w:szCs w:val="20"/>
        </w:rPr>
      </w:pPr>
    </w:p>
    <w:p w14:paraId="70E43C79" w14:textId="351731AC" w:rsidR="00E11BF0" w:rsidRPr="00E11BF0" w:rsidRDefault="00E11BF0" w:rsidP="00952F51">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Meijer, Albert Jacob, “Networked Coproduction of Public Services in Virtual Communities: From Government  -Centric to a Community Approach to Public Service Support,” </w:t>
      </w:r>
      <w:r>
        <w:rPr>
          <w:rFonts w:ascii="Times New Roman" w:eastAsia="Times New Roman" w:hAnsi="Times New Roman" w:cs="Times New Roman"/>
          <w:sz w:val="20"/>
          <w:szCs w:val="20"/>
          <w:u w:val="single"/>
        </w:rPr>
        <w:t>Public Administration Review</w:t>
      </w:r>
      <w:r>
        <w:rPr>
          <w:rFonts w:ascii="Times New Roman" w:eastAsia="Times New Roman" w:hAnsi="Times New Roman" w:cs="Times New Roman"/>
          <w:sz w:val="20"/>
          <w:szCs w:val="20"/>
        </w:rPr>
        <w:t>, July/August, 2011.</w:t>
      </w:r>
    </w:p>
    <w:p w14:paraId="069F731F" w14:textId="2E1019AB" w:rsidR="00411535" w:rsidRPr="008175C5" w:rsidRDefault="00411535" w:rsidP="00411535">
      <w:pPr>
        <w:spacing w:line="240" w:lineRule="auto"/>
        <w:contextualSpacing/>
        <w:rPr>
          <w:rFonts w:ascii="Times New Roman" w:eastAsia="Times New Roman" w:hAnsi="Times New Roman" w:cs="Times New Roman"/>
          <w:sz w:val="20"/>
          <w:szCs w:val="20"/>
        </w:rPr>
      </w:pPr>
    </w:p>
    <w:p w14:paraId="2D7F1E1D" w14:textId="6F638E0E" w:rsidR="00411535" w:rsidRPr="008175C5" w:rsidRDefault="00411535" w:rsidP="00411535">
      <w:pPr>
        <w:spacing w:line="240" w:lineRule="auto"/>
        <w:rPr>
          <w:rFonts w:ascii="Times New Roman" w:eastAsia="Times New Roman" w:hAnsi="Times New Roman" w:cs="Times New Roman"/>
          <w:sz w:val="20"/>
          <w:szCs w:val="20"/>
        </w:rPr>
      </w:pPr>
      <w:r w:rsidRPr="008175C5">
        <w:rPr>
          <w:rFonts w:ascii="Times New Roman" w:eastAsia="Times New Roman" w:hAnsi="Times New Roman" w:cs="Times New Roman"/>
          <w:sz w:val="20"/>
          <w:szCs w:val="20"/>
        </w:rPr>
        <w:t xml:space="preserve">Meijer, Albert, "Understanding the Complex Dynamics of Transparency," </w:t>
      </w:r>
      <w:r w:rsidRPr="008175C5">
        <w:rPr>
          <w:rFonts w:ascii="Times New Roman" w:eastAsia="Times New Roman" w:hAnsi="Times New Roman" w:cs="Times New Roman"/>
          <w:sz w:val="20"/>
          <w:szCs w:val="20"/>
          <w:u w:val="single"/>
        </w:rPr>
        <w:t>Public Administration Review</w:t>
      </w:r>
      <w:r w:rsidRPr="008175C5">
        <w:rPr>
          <w:rFonts w:ascii="Times New Roman" w:eastAsia="Times New Roman" w:hAnsi="Times New Roman" w:cs="Times New Roman"/>
          <w:sz w:val="20"/>
          <w:szCs w:val="20"/>
        </w:rPr>
        <w:t>, May/June 2013.</w:t>
      </w:r>
    </w:p>
    <w:p w14:paraId="594D91FD" w14:textId="428E18A2" w:rsidR="00973746" w:rsidRPr="008175C5" w:rsidRDefault="00973746" w:rsidP="00973746">
      <w:pPr>
        <w:spacing w:after="0" w:line="240" w:lineRule="auto"/>
        <w:jc w:val="both"/>
        <w:rPr>
          <w:rFonts w:ascii="Times New Roman" w:hAnsi="Times New Roman" w:cs="Times New Roman"/>
          <w:sz w:val="20"/>
          <w:szCs w:val="20"/>
        </w:rPr>
      </w:pPr>
      <w:r w:rsidRPr="008175C5">
        <w:rPr>
          <w:rFonts w:ascii="Times New Roman" w:hAnsi="Times New Roman" w:cs="Times New Roman"/>
          <w:sz w:val="20"/>
          <w:szCs w:val="20"/>
        </w:rPr>
        <w:t xml:space="preserve">Meyers, Roy T. and Irene S. Rubin, “The Executive Budget in the Federal Government: The First Century and Beyond,” </w:t>
      </w:r>
      <w:r w:rsidRPr="008175C5">
        <w:rPr>
          <w:rFonts w:ascii="Times New Roman" w:hAnsi="Times New Roman" w:cs="Times New Roman"/>
          <w:sz w:val="20"/>
          <w:szCs w:val="20"/>
          <w:u w:val="single"/>
        </w:rPr>
        <w:t>Public Administration Review</w:t>
      </w:r>
      <w:r w:rsidRPr="008175C5">
        <w:rPr>
          <w:rFonts w:ascii="Times New Roman" w:hAnsi="Times New Roman" w:cs="Times New Roman"/>
          <w:sz w:val="20"/>
          <w:szCs w:val="20"/>
        </w:rPr>
        <w:t>, Vol. 71, No. 3, May/June 2011.</w:t>
      </w:r>
    </w:p>
    <w:p w14:paraId="6053D0E5" w14:textId="0A81DD6D" w:rsidR="005A6FF8" w:rsidRPr="008175C5" w:rsidRDefault="005A6FF8" w:rsidP="00973746">
      <w:pPr>
        <w:spacing w:after="0" w:line="240" w:lineRule="auto"/>
        <w:jc w:val="both"/>
        <w:rPr>
          <w:rFonts w:ascii="Times New Roman" w:hAnsi="Times New Roman" w:cs="Times New Roman"/>
          <w:sz w:val="20"/>
          <w:szCs w:val="20"/>
        </w:rPr>
      </w:pPr>
    </w:p>
    <w:p w14:paraId="33185838" w14:textId="07074FFA" w:rsidR="005A6FF8" w:rsidRPr="008175C5" w:rsidRDefault="005A6FF8" w:rsidP="00973746">
      <w:pPr>
        <w:spacing w:after="0" w:line="240" w:lineRule="auto"/>
        <w:jc w:val="both"/>
        <w:rPr>
          <w:rFonts w:ascii="Times New Roman" w:hAnsi="Times New Roman" w:cs="Times New Roman"/>
          <w:sz w:val="20"/>
          <w:szCs w:val="20"/>
        </w:rPr>
      </w:pPr>
      <w:r w:rsidRPr="008175C5">
        <w:rPr>
          <w:rFonts w:ascii="Times New Roman" w:hAnsi="Times New Roman" w:cs="Times New Roman"/>
          <w:sz w:val="20"/>
          <w:szCs w:val="20"/>
        </w:rPr>
        <w:t xml:space="preserve">Nabatchi, Tina, “Putting the ‘Public” Back in Public Values Research: Designing Participation to Identify and Respond to Values,” </w:t>
      </w:r>
      <w:r w:rsidRPr="008175C5">
        <w:rPr>
          <w:rFonts w:ascii="Times New Roman" w:hAnsi="Times New Roman" w:cs="Times New Roman"/>
          <w:sz w:val="20"/>
          <w:szCs w:val="20"/>
          <w:u w:val="single"/>
        </w:rPr>
        <w:t>Public Administration Review</w:t>
      </w:r>
      <w:r w:rsidRPr="008175C5">
        <w:rPr>
          <w:rFonts w:ascii="Times New Roman" w:hAnsi="Times New Roman" w:cs="Times New Roman"/>
          <w:sz w:val="20"/>
          <w:szCs w:val="20"/>
        </w:rPr>
        <w:t xml:space="preserve">, September/October 2012. </w:t>
      </w:r>
    </w:p>
    <w:p w14:paraId="007647B2" w14:textId="77777777" w:rsidR="00973746" w:rsidRPr="008175C5" w:rsidRDefault="00973746" w:rsidP="00973746">
      <w:pPr>
        <w:spacing w:after="0" w:line="240" w:lineRule="auto"/>
        <w:jc w:val="both"/>
        <w:rPr>
          <w:rFonts w:ascii="Times New Roman" w:hAnsi="Times New Roman" w:cs="Times New Roman"/>
          <w:sz w:val="20"/>
          <w:szCs w:val="20"/>
        </w:rPr>
      </w:pPr>
    </w:p>
    <w:p w14:paraId="0410FE2C" w14:textId="0D9EA7DA" w:rsidR="00973746" w:rsidRPr="008175C5" w:rsidRDefault="00973746" w:rsidP="00973746">
      <w:pPr>
        <w:spacing w:after="0" w:line="240" w:lineRule="auto"/>
        <w:jc w:val="both"/>
        <w:rPr>
          <w:rFonts w:ascii="Times New Roman" w:hAnsi="Times New Roman" w:cs="Times New Roman"/>
          <w:sz w:val="20"/>
          <w:szCs w:val="20"/>
        </w:rPr>
      </w:pPr>
      <w:r w:rsidRPr="008175C5">
        <w:rPr>
          <w:rFonts w:ascii="Times New Roman" w:hAnsi="Times New Roman" w:cs="Times New Roman"/>
          <w:sz w:val="20"/>
          <w:szCs w:val="20"/>
        </w:rPr>
        <w:t xml:space="preserve">National Academies of Sciences, Engineering, and Medicine, “Information Technology and the U.S. Workforce: Where Are We and Where Do We Go from Here?” </w:t>
      </w:r>
      <w:r w:rsidRPr="008175C5">
        <w:rPr>
          <w:rFonts w:ascii="Times New Roman" w:hAnsi="Times New Roman" w:cs="Times New Roman"/>
          <w:sz w:val="20"/>
          <w:szCs w:val="20"/>
          <w:u w:val="single"/>
        </w:rPr>
        <w:t>4 Changes in the Nature of Work and Its Organization</w:t>
      </w:r>
      <w:r w:rsidRPr="008175C5">
        <w:rPr>
          <w:rFonts w:ascii="Times New Roman" w:hAnsi="Times New Roman" w:cs="Times New Roman"/>
          <w:sz w:val="20"/>
          <w:szCs w:val="20"/>
        </w:rPr>
        <w:t>, 2017, National Academies Press.</w:t>
      </w:r>
    </w:p>
    <w:p w14:paraId="1A9A13B7" w14:textId="23F30BD4" w:rsidR="00973746" w:rsidRPr="008175C5" w:rsidRDefault="00973746" w:rsidP="00973746">
      <w:pPr>
        <w:spacing w:after="0" w:line="240" w:lineRule="auto"/>
        <w:jc w:val="both"/>
        <w:rPr>
          <w:rFonts w:ascii="Times New Roman" w:hAnsi="Times New Roman" w:cs="Times New Roman"/>
          <w:sz w:val="20"/>
          <w:szCs w:val="20"/>
        </w:rPr>
      </w:pPr>
    </w:p>
    <w:p w14:paraId="7573C721" w14:textId="6FF52EAF" w:rsidR="00973746" w:rsidRPr="008175C5" w:rsidRDefault="00973746" w:rsidP="00973746">
      <w:pPr>
        <w:spacing w:line="240" w:lineRule="auto"/>
        <w:rPr>
          <w:rFonts w:ascii="Times New Roman" w:hAnsi="Times New Roman" w:cs="Times New Roman"/>
          <w:sz w:val="20"/>
          <w:szCs w:val="20"/>
        </w:rPr>
      </w:pPr>
      <w:r w:rsidRPr="008175C5">
        <w:rPr>
          <w:rFonts w:ascii="Times New Roman" w:hAnsi="Times New Roman" w:cs="Times New Roman"/>
          <w:sz w:val="20"/>
          <w:szCs w:val="20"/>
        </w:rPr>
        <w:t xml:space="preserve">Najjar, George K., “Social Systems Delimitation and Allocative Mechanisms,” </w:t>
      </w:r>
      <w:r w:rsidRPr="008175C5">
        <w:rPr>
          <w:rFonts w:ascii="Times New Roman" w:hAnsi="Times New Roman" w:cs="Times New Roman"/>
          <w:sz w:val="20"/>
          <w:szCs w:val="20"/>
          <w:u w:val="single"/>
        </w:rPr>
        <w:t>Administration &amp; Society</w:t>
      </w:r>
      <w:r w:rsidRPr="008175C5">
        <w:rPr>
          <w:rFonts w:ascii="Times New Roman" w:hAnsi="Times New Roman" w:cs="Times New Roman"/>
          <w:sz w:val="20"/>
          <w:szCs w:val="20"/>
        </w:rPr>
        <w:t>, Vol. 9 No. 4. February 1978.</w:t>
      </w:r>
    </w:p>
    <w:p w14:paraId="2C0CD9F9" w14:textId="39B4CCBC" w:rsidR="00973746" w:rsidRPr="008175C5" w:rsidRDefault="00973746" w:rsidP="00973746">
      <w:pPr>
        <w:spacing w:line="240" w:lineRule="auto"/>
        <w:rPr>
          <w:rFonts w:ascii="Times New Roman" w:eastAsia="Times New Roman" w:hAnsi="Times New Roman" w:cs="Times New Roman"/>
          <w:sz w:val="20"/>
          <w:szCs w:val="20"/>
        </w:rPr>
      </w:pPr>
      <w:r w:rsidRPr="008175C5">
        <w:rPr>
          <w:rFonts w:ascii="Times New Roman" w:eastAsia="Times New Roman" w:hAnsi="Times New Roman" w:cs="Times New Roman"/>
          <w:sz w:val="20"/>
          <w:szCs w:val="20"/>
        </w:rPr>
        <w:t>Office of National Statistics, “Measuring National Well-being: National Statistician’s Reflections on the National Debate on Measuring National Well-being,” June 6, 2011</w:t>
      </w:r>
    </w:p>
    <w:p w14:paraId="0E843DD8" w14:textId="24C9B456" w:rsidR="00973746" w:rsidRPr="008175C5" w:rsidRDefault="00973746" w:rsidP="00973746">
      <w:pPr>
        <w:spacing w:after="0" w:line="240" w:lineRule="auto"/>
        <w:rPr>
          <w:rFonts w:ascii="Times New Roman" w:eastAsia="Times New Roman" w:hAnsi="Times New Roman" w:cs="Times New Roman"/>
          <w:sz w:val="20"/>
          <w:szCs w:val="20"/>
        </w:rPr>
      </w:pPr>
      <w:r w:rsidRPr="008175C5">
        <w:rPr>
          <w:rFonts w:ascii="Times New Roman" w:eastAsia="Times New Roman" w:hAnsi="Times New Roman" w:cs="Times New Roman"/>
          <w:sz w:val="20"/>
          <w:szCs w:val="20"/>
        </w:rPr>
        <w:t xml:space="preserve">Ramos, Alberto Guerreiro, </w:t>
      </w:r>
      <w:r w:rsidRPr="008175C5">
        <w:rPr>
          <w:rFonts w:ascii="Times New Roman" w:eastAsia="Times New Roman" w:hAnsi="Times New Roman" w:cs="Times New Roman"/>
          <w:sz w:val="20"/>
          <w:szCs w:val="20"/>
          <w:u w:val="single"/>
        </w:rPr>
        <w:t>The New Science of Organizations: A Reconceptualization of the Wealth of Nations</w:t>
      </w:r>
      <w:r w:rsidRPr="008175C5">
        <w:rPr>
          <w:rFonts w:ascii="Times New Roman" w:eastAsia="Times New Roman" w:hAnsi="Times New Roman" w:cs="Times New Roman"/>
          <w:sz w:val="20"/>
          <w:szCs w:val="20"/>
        </w:rPr>
        <w:t>, 1981.</w:t>
      </w:r>
    </w:p>
    <w:p w14:paraId="691814F1" w14:textId="5BE84940" w:rsidR="00973746" w:rsidRPr="008175C5" w:rsidRDefault="00973746" w:rsidP="00973746">
      <w:pPr>
        <w:spacing w:after="0" w:line="240" w:lineRule="auto"/>
        <w:rPr>
          <w:rFonts w:ascii="Times New Roman" w:eastAsia="Times New Roman" w:hAnsi="Times New Roman" w:cs="Times New Roman"/>
          <w:sz w:val="20"/>
          <w:szCs w:val="20"/>
        </w:rPr>
      </w:pPr>
    </w:p>
    <w:p w14:paraId="61936A58" w14:textId="7AA661B4" w:rsidR="00973746" w:rsidRPr="008175C5" w:rsidRDefault="00973746" w:rsidP="00973746">
      <w:pPr>
        <w:spacing w:after="0" w:line="240" w:lineRule="auto"/>
        <w:jc w:val="both"/>
        <w:rPr>
          <w:rFonts w:ascii="Times New Roman" w:hAnsi="Times New Roman" w:cs="Times New Roman"/>
          <w:sz w:val="20"/>
          <w:szCs w:val="20"/>
        </w:rPr>
      </w:pPr>
      <w:r w:rsidRPr="008175C5">
        <w:rPr>
          <w:rFonts w:ascii="Times New Roman" w:hAnsi="Times New Roman" w:cs="Times New Roman"/>
          <w:sz w:val="20"/>
          <w:szCs w:val="20"/>
        </w:rPr>
        <w:t xml:space="preserve">Rubin, Irene S., “Who Invented Budgeting in the United States?”, </w:t>
      </w:r>
      <w:r w:rsidRPr="008175C5">
        <w:rPr>
          <w:rFonts w:ascii="Times New Roman" w:hAnsi="Times New Roman" w:cs="Times New Roman"/>
          <w:sz w:val="20"/>
          <w:szCs w:val="20"/>
          <w:u w:val="single"/>
        </w:rPr>
        <w:t>Public Administration Review</w:t>
      </w:r>
      <w:r w:rsidRPr="008175C5">
        <w:rPr>
          <w:rFonts w:ascii="Times New Roman" w:hAnsi="Times New Roman" w:cs="Times New Roman"/>
          <w:sz w:val="20"/>
          <w:szCs w:val="20"/>
        </w:rPr>
        <w:t>, Vol. 53, No. 5, September/October 1993.</w:t>
      </w:r>
    </w:p>
    <w:p w14:paraId="5BFF28A8" w14:textId="66C78F05" w:rsidR="00973746" w:rsidRPr="008175C5" w:rsidRDefault="00973746" w:rsidP="00973746">
      <w:pPr>
        <w:spacing w:after="0" w:line="240" w:lineRule="auto"/>
        <w:jc w:val="both"/>
        <w:rPr>
          <w:rFonts w:ascii="Times New Roman" w:hAnsi="Times New Roman" w:cs="Times New Roman"/>
          <w:sz w:val="20"/>
          <w:szCs w:val="20"/>
        </w:rPr>
      </w:pPr>
    </w:p>
    <w:p w14:paraId="2CEC30BF" w14:textId="52A42710" w:rsidR="00973746" w:rsidRDefault="00973746" w:rsidP="00973746">
      <w:pPr>
        <w:spacing w:line="240" w:lineRule="auto"/>
        <w:rPr>
          <w:rFonts w:ascii="Times New Roman" w:eastAsia="Times New Roman" w:hAnsi="Times New Roman" w:cs="Times New Roman"/>
          <w:sz w:val="20"/>
          <w:szCs w:val="20"/>
        </w:rPr>
      </w:pPr>
      <w:r w:rsidRPr="008175C5">
        <w:rPr>
          <w:rFonts w:ascii="Times New Roman" w:eastAsia="Times New Roman" w:hAnsi="Times New Roman" w:cs="Times New Roman"/>
          <w:sz w:val="20"/>
          <w:szCs w:val="20"/>
        </w:rPr>
        <w:t xml:space="preserve">Sanger, Mary Bryna, "From Measurement to Management: Breaking through the Barriers to State and Local Performance," </w:t>
      </w:r>
      <w:r w:rsidRPr="008175C5">
        <w:rPr>
          <w:rFonts w:ascii="Times New Roman" w:eastAsia="Times New Roman" w:hAnsi="Times New Roman" w:cs="Times New Roman"/>
          <w:sz w:val="20"/>
          <w:szCs w:val="20"/>
          <w:u w:val="single"/>
        </w:rPr>
        <w:t xml:space="preserve">Public Administration Review </w:t>
      </w:r>
      <w:r w:rsidRPr="008175C5">
        <w:rPr>
          <w:rFonts w:ascii="Times New Roman" w:eastAsia="Times New Roman" w:hAnsi="Times New Roman" w:cs="Times New Roman"/>
          <w:sz w:val="20"/>
          <w:szCs w:val="20"/>
        </w:rPr>
        <w:t>(December 2008).</w:t>
      </w:r>
    </w:p>
    <w:p w14:paraId="7E7B6135" w14:textId="2A746F4A" w:rsidR="00B809C4" w:rsidRDefault="00B809C4" w:rsidP="0097374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Santos, Lais Sil</w:t>
      </w:r>
      <w:r w:rsidR="005A03CF">
        <w:rPr>
          <w:rFonts w:ascii="Times New Roman" w:eastAsia="Times New Roman" w:hAnsi="Times New Roman" w:cs="Times New Roman"/>
          <w:sz w:val="20"/>
          <w:szCs w:val="20"/>
        </w:rPr>
        <w:t>v</w:t>
      </w:r>
      <w:r>
        <w:rPr>
          <w:rFonts w:ascii="Times New Roman" w:eastAsia="Times New Roman" w:hAnsi="Times New Roman" w:cs="Times New Roman"/>
          <w:sz w:val="20"/>
          <w:szCs w:val="20"/>
        </w:rPr>
        <w:t>ei</w:t>
      </w:r>
      <w:r w:rsidR="005A03CF">
        <w:rPr>
          <w:rFonts w:ascii="Times New Roman" w:eastAsia="Times New Roman" w:hAnsi="Times New Roman" w:cs="Times New Roman"/>
          <w:sz w:val="20"/>
          <w:szCs w:val="20"/>
        </w:rPr>
        <w:t>ra, Mauricio C. Serafim, Daniel Moraes Pinheiro and Maria Clara Figueiredo Dalla Costa Ames, “Reason and Administration: Revisiting Some Fundamental Elements,” Cad. EBAPE.BR, vol 17, no. 1, Rio de Janeiro, Jan./Mar. 2019</w:t>
      </w:r>
    </w:p>
    <w:p w14:paraId="35CB64F9" w14:textId="5F4B086E" w:rsidR="005A03CF" w:rsidRPr="008175C5" w:rsidRDefault="005A03CF" w:rsidP="0097374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Santos, Lais Silveria, Mauricio C. Serafim and Danial Moraes Pinheiro, “Bernard Lonergan and Alberto Guerreiro Ramos: Dialogues Between the Existential Subject and the Parenthetical Man,” Revista Organizacoes &amp; Sociedade, vol. 26, no. 88, p. 96-113, Jan./Mar. 2019.</w:t>
      </w:r>
    </w:p>
    <w:p w14:paraId="3D6C8C34" w14:textId="52A4E278" w:rsidR="00973746" w:rsidRPr="008175C5" w:rsidRDefault="00973746" w:rsidP="00973746">
      <w:pPr>
        <w:spacing w:after="0" w:line="240" w:lineRule="auto"/>
        <w:jc w:val="both"/>
        <w:rPr>
          <w:rFonts w:ascii="Times New Roman" w:hAnsi="Times New Roman" w:cs="Times New Roman"/>
          <w:sz w:val="20"/>
          <w:szCs w:val="20"/>
        </w:rPr>
      </w:pPr>
      <w:r w:rsidRPr="008175C5">
        <w:rPr>
          <w:rFonts w:ascii="Times New Roman" w:hAnsi="Times New Roman" w:cs="Times New Roman"/>
          <w:sz w:val="20"/>
          <w:szCs w:val="20"/>
        </w:rPr>
        <w:t xml:space="preserve">Schwaerz, Jeff, Kelly Monahen and Heather Stockton, “Forces of Change,” </w:t>
      </w:r>
      <w:r w:rsidRPr="008175C5">
        <w:rPr>
          <w:rFonts w:ascii="Times New Roman" w:hAnsi="Times New Roman" w:cs="Times New Roman"/>
          <w:sz w:val="20"/>
          <w:szCs w:val="20"/>
          <w:u w:val="single"/>
        </w:rPr>
        <w:t>Deloitte Insights</w:t>
      </w:r>
      <w:r w:rsidRPr="008175C5">
        <w:rPr>
          <w:rFonts w:ascii="Times New Roman" w:hAnsi="Times New Roman" w:cs="Times New Roman"/>
          <w:sz w:val="20"/>
          <w:szCs w:val="20"/>
        </w:rPr>
        <w:t>, November 9, 2017.</w:t>
      </w:r>
    </w:p>
    <w:p w14:paraId="1A90EFE3" w14:textId="454F8638" w:rsidR="00973746" w:rsidRPr="008175C5" w:rsidRDefault="00973746" w:rsidP="00973746">
      <w:pPr>
        <w:spacing w:after="0" w:line="240" w:lineRule="auto"/>
        <w:jc w:val="both"/>
        <w:rPr>
          <w:rFonts w:ascii="Times New Roman" w:hAnsi="Times New Roman" w:cs="Times New Roman"/>
          <w:sz w:val="20"/>
          <w:szCs w:val="20"/>
        </w:rPr>
      </w:pPr>
    </w:p>
    <w:p w14:paraId="0436B435" w14:textId="3FC4FB8F" w:rsidR="00973746" w:rsidRPr="008175C5" w:rsidRDefault="00973746" w:rsidP="00973746">
      <w:pPr>
        <w:spacing w:line="240" w:lineRule="auto"/>
        <w:rPr>
          <w:rFonts w:ascii="Times New Roman" w:eastAsia="Times New Roman" w:hAnsi="Times New Roman" w:cs="Times New Roman"/>
          <w:sz w:val="20"/>
          <w:szCs w:val="20"/>
        </w:rPr>
      </w:pPr>
      <w:r w:rsidRPr="008175C5">
        <w:rPr>
          <w:rFonts w:ascii="Times New Roman" w:eastAsia="Times New Roman" w:hAnsi="Times New Roman" w:cs="Times New Roman"/>
          <w:sz w:val="20"/>
          <w:szCs w:val="20"/>
        </w:rPr>
        <w:t xml:space="preserve">Slotterback, Carlissa Schively and Barbara C. Crosby, "Designing Public Participation Processes," </w:t>
      </w:r>
      <w:r w:rsidRPr="008175C5">
        <w:rPr>
          <w:rFonts w:ascii="Times New Roman" w:eastAsia="Times New Roman" w:hAnsi="Times New Roman" w:cs="Times New Roman"/>
          <w:sz w:val="20"/>
          <w:szCs w:val="20"/>
          <w:u w:val="single"/>
        </w:rPr>
        <w:t>Public Administration Review</w:t>
      </w:r>
      <w:r w:rsidRPr="008175C5">
        <w:rPr>
          <w:rFonts w:ascii="Times New Roman" w:eastAsia="Times New Roman" w:hAnsi="Times New Roman" w:cs="Times New Roman"/>
          <w:sz w:val="20"/>
          <w:szCs w:val="20"/>
        </w:rPr>
        <w:t xml:space="preserve"> (January/February 2013), pp.23 - 34.</w:t>
      </w:r>
    </w:p>
    <w:p w14:paraId="02F367E2" w14:textId="36266187" w:rsidR="0056074D" w:rsidRPr="008175C5" w:rsidRDefault="0056074D" w:rsidP="00973746">
      <w:pPr>
        <w:spacing w:line="240" w:lineRule="auto"/>
        <w:rPr>
          <w:rFonts w:ascii="Times New Roman" w:eastAsia="Times New Roman" w:hAnsi="Times New Roman" w:cs="Times New Roman"/>
          <w:sz w:val="20"/>
          <w:szCs w:val="20"/>
        </w:rPr>
      </w:pPr>
      <w:r w:rsidRPr="008175C5">
        <w:rPr>
          <w:rFonts w:ascii="Times New Roman" w:eastAsia="Times New Roman" w:hAnsi="Times New Roman" w:cs="Times New Roman"/>
          <w:sz w:val="20"/>
          <w:szCs w:val="20"/>
        </w:rPr>
        <w:t xml:space="preserve">Stiglitz, Joseph E., Amartya Sen and Jean-Paul Fitoussi, </w:t>
      </w:r>
      <w:r w:rsidRPr="008175C5">
        <w:rPr>
          <w:rFonts w:ascii="Times New Roman" w:eastAsia="Times New Roman" w:hAnsi="Times New Roman" w:cs="Times New Roman"/>
          <w:sz w:val="20"/>
          <w:szCs w:val="20"/>
          <w:u w:val="single"/>
        </w:rPr>
        <w:t>Report by the Commission on the Measurement of Economic Performance and Social Progress</w:t>
      </w:r>
      <w:r w:rsidR="00B8576B" w:rsidRPr="008175C5">
        <w:rPr>
          <w:rFonts w:ascii="Times New Roman" w:eastAsia="Times New Roman" w:hAnsi="Times New Roman" w:cs="Times New Roman"/>
          <w:sz w:val="20"/>
          <w:szCs w:val="20"/>
        </w:rPr>
        <w:t xml:space="preserve">, </w:t>
      </w:r>
      <w:r w:rsidR="009A0B2B" w:rsidRPr="008175C5">
        <w:rPr>
          <w:rFonts w:ascii="Times New Roman" w:eastAsia="Times New Roman" w:hAnsi="Times New Roman" w:cs="Times New Roman"/>
          <w:sz w:val="20"/>
          <w:szCs w:val="20"/>
        </w:rPr>
        <w:t>Commissioned by the President of France Nicolas Sarkozy, September 14, 2009.</w:t>
      </w:r>
    </w:p>
    <w:p w14:paraId="7FCFB14A" w14:textId="6618931B" w:rsidR="00973746" w:rsidRDefault="00973746" w:rsidP="00973746">
      <w:pPr>
        <w:spacing w:after="0" w:line="240" w:lineRule="auto"/>
        <w:jc w:val="both"/>
        <w:rPr>
          <w:rFonts w:ascii="Times New Roman" w:hAnsi="Times New Roman" w:cs="Times New Roman"/>
          <w:sz w:val="20"/>
          <w:szCs w:val="20"/>
        </w:rPr>
      </w:pPr>
      <w:r w:rsidRPr="008175C5">
        <w:rPr>
          <w:rFonts w:ascii="Times New Roman" w:hAnsi="Times New Roman" w:cs="Times New Roman"/>
          <w:sz w:val="20"/>
          <w:szCs w:val="20"/>
        </w:rPr>
        <w:t>The Treasury Department of New Zealand, “Budget Policy Statement 2019, Executive Summary,” December 13, 2018.</w:t>
      </w:r>
    </w:p>
    <w:p w14:paraId="57D04D9F" w14:textId="6D3EAC4B" w:rsidR="00262A21" w:rsidRDefault="00262A21" w:rsidP="00973746">
      <w:pPr>
        <w:spacing w:after="0" w:line="240" w:lineRule="auto"/>
        <w:jc w:val="both"/>
        <w:rPr>
          <w:rFonts w:ascii="Times New Roman" w:hAnsi="Times New Roman" w:cs="Times New Roman"/>
          <w:sz w:val="20"/>
          <w:szCs w:val="20"/>
        </w:rPr>
      </w:pPr>
    </w:p>
    <w:p w14:paraId="1864A9CB" w14:textId="79472C02" w:rsidR="00262A21" w:rsidRPr="00262A21" w:rsidRDefault="00262A21" w:rsidP="009737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Wellesley Institute, </w:t>
      </w:r>
      <w:r>
        <w:rPr>
          <w:rFonts w:ascii="Times New Roman" w:hAnsi="Times New Roman" w:cs="Times New Roman"/>
          <w:sz w:val="20"/>
          <w:szCs w:val="20"/>
          <w:u w:val="single"/>
        </w:rPr>
        <w:t xml:space="preserve">A Better Budget for a Better City: Ideas for a Healthy Budget Process in </w:t>
      </w:r>
      <w:r w:rsidRPr="00262A21">
        <w:rPr>
          <w:rFonts w:ascii="Times New Roman" w:hAnsi="Times New Roman" w:cs="Times New Roman"/>
          <w:sz w:val="20"/>
          <w:szCs w:val="20"/>
        </w:rPr>
        <w:t>Toronto</w:t>
      </w:r>
      <w:r>
        <w:rPr>
          <w:rFonts w:ascii="Times New Roman" w:hAnsi="Times New Roman" w:cs="Times New Roman"/>
          <w:sz w:val="20"/>
          <w:szCs w:val="20"/>
        </w:rPr>
        <w:t xml:space="preserve">, </w:t>
      </w:r>
      <w:r w:rsidRPr="00262A21">
        <w:rPr>
          <w:rFonts w:ascii="Times New Roman" w:hAnsi="Times New Roman" w:cs="Times New Roman"/>
          <w:sz w:val="20"/>
          <w:szCs w:val="20"/>
        </w:rPr>
        <w:t>September</w:t>
      </w:r>
      <w:r>
        <w:rPr>
          <w:rFonts w:ascii="Times New Roman" w:hAnsi="Times New Roman" w:cs="Times New Roman"/>
          <w:sz w:val="20"/>
          <w:szCs w:val="20"/>
        </w:rPr>
        <w:t xml:space="preserve"> 2012.</w:t>
      </w:r>
    </w:p>
    <w:p w14:paraId="191C1DD9" w14:textId="66B1DA55" w:rsidR="00973746" w:rsidRPr="008175C5" w:rsidRDefault="00973746" w:rsidP="00973746">
      <w:pPr>
        <w:spacing w:after="0" w:line="240" w:lineRule="auto"/>
        <w:jc w:val="both"/>
        <w:rPr>
          <w:rFonts w:ascii="Times New Roman" w:hAnsi="Times New Roman" w:cs="Times New Roman"/>
          <w:sz w:val="20"/>
          <w:szCs w:val="20"/>
        </w:rPr>
      </w:pPr>
    </w:p>
    <w:p w14:paraId="57EBCE62" w14:textId="00612D35" w:rsidR="00973746" w:rsidRDefault="00973746" w:rsidP="00973746">
      <w:pPr>
        <w:spacing w:after="0" w:line="240" w:lineRule="auto"/>
        <w:jc w:val="both"/>
        <w:rPr>
          <w:rFonts w:ascii="Times New Roman" w:hAnsi="Times New Roman" w:cs="Times New Roman"/>
          <w:sz w:val="20"/>
          <w:szCs w:val="20"/>
        </w:rPr>
      </w:pPr>
      <w:r w:rsidRPr="008175C5">
        <w:rPr>
          <w:rFonts w:ascii="Times New Roman" w:hAnsi="Times New Roman" w:cs="Times New Roman"/>
          <w:sz w:val="20"/>
          <w:szCs w:val="20"/>
        </w:rPr>
        <w:t xml:space="preserve">Williams, Daniel W., “Measuring Government in the Early Twentieth Century,” </w:t>
      </w:r>
      <w:r w:rsidRPr="008175C5">
        <w:rPr>
          <w:rFonts w:ascii="Times New Roman" w:hAnsi="Times New Roman" w:cs="Times New Roman"/>
          <w:sz w:val="20"/>
          <w:szCs w:val="20"/>
          <w:u w:val="single"/>
        </w:rPr>
        <w:t>Public Administration Review</w:t>
      </w:r>
      <w:r w:rsidRPr="008175C5">
        <w:rPr>
          <w:rFonts w:ascii="Times New Roman" w:hAnsi="Times New Roman" w:cs="Times New Roman"/>
          <w:sz w:val="20"/>
          <w:szCs w:val="20"/>
        </w:rPr>
        <w:t>, Vol. 63, Mo. 6, November/December 2003.</w:t>
      </w:r>
    </w:p>
    <w:p w14:paraId="2B0FFA22" w14:textId="74B125B0" w:rsidR="00E321C7" w:rsidRDefault="00E321C7" w:rsidP="00973746">
      <w:pPr>
        <w:spacing w:after="0" w:line="240" w:lineRule="auto"/>
        <w:jc w:val="both"/>
        <w:rPr>
          <w:rFonts w:ascii="Times New Roman" w:hAnsi="Times New Roman" w:cs="Times New Roman"/>
          <w:sz w:val="20"/>
          <w:szCs w:val="20"/>
        </w:rPr>
      </w:pPr>
    </w:p>
    <w:p w14:paraId="4AFFBAA9" w14:textId="56D5C707" w:rsidR="00E321C7" w:rsidRDefault="00E321C7" w:rsidP="009737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Wong, Kristine, “Participatory Budgeting is gaining Momentum in the United States. How Does it Work? Sharable (at www.shareable.net) , March 20, 2017.</w:t>
      </w:r>
    </w:p>
    <w:p w14:paraId="6337FD15" w14:textId="75F4FF05" w:rsidR="0057388B" w:rsidRDefault="0057388B" w:rsidP="00973746">
      <w:pPr>
        <w:spacing w:after="0" w:line="240" w:lineRule="auto"/>
        <w:jc w:val="both"/>
        <w:rPr>
          <w:rFonts w:ascii="Times New Roman" w:hAnsi="Times New Roman" w:cs="Times New Roman"/>
          <w:sz w:val="20"/>
          <w:szCs w:val="20"/>
        </w:rPr>
      </w:pPr>
    </w:p>
    <w:p w14:paraId="52E84E56" w14:textId="51C54F18" w:rsidR="0057388B" w:rsidRPr="0057388B" w:rsidRDefault="0057388B" w:rsidP="009737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World Bank, “Spotlight 11: From Transparency to Accountability through Citizen Engagement,” </w:t>
      </w:r>
      <w:r>
        <w:rPr>
          <w:rFonts w:ascii="Times New Roman" w:hAnsi="Times New Roman" w:cs="Times New Roman"/>
          <w:sz w:val="20"/>
          <w:szCs w:val="20"/>
          <w:u w:val="single"/>
        </w:rPr>
        <w:t>Wo</w:t>
      </w:r>
      <w:r w:rsidR="00E321C7">
        <w:rPr>
          <w:rFonts w:ascii="Times New Roman" w:hAnsi="Times New Roman" w:cs="Times New Roman"/>
          <w:sz w:val="20"/>
          <w:szCs w:val="20"/>
          <w:u w:val="single"/>
        </w:rPr>
        <w:t>r</w:t>
      </w:r>
      <w:r>
        <w:rPr>
          <w:rFonts w:ascii="Times New Roman" w:hAnsi="Times New Roman" w:cs="Times New Roman"/>
          <w:sz w:val="20"/>
          <w:szCs w:val="20"/>
          <w:u w:val="single"/>
        </w:rPr>
        <w:t>ld Development Report 2017</w:t>
      </w:r>
      <w:r>
        <w:rPr>
          <w:rFonts w:ascii="Times New Roman" w:hAnsi="Times New Roman" w:cs="Times New Roman"/>
          <w:sz w:val="20"/>
          <w:szCs w:val="20"/>
        </w:rPr>
        <w:t>, June 30, 2017, pages 247 – 251.</w:t>
      </w:r>
    </w:p>
    <w:p w14:paraId="61FF39E4" w14:textId="175CCC8D" w:rsidR="00973746" w:rsidRPr="008175C5" w:rsidRDefault="00973746" w:rsidP="00973746">
      <w:pPr>
        <w:spacing w:after="0" w:line="240" w:lineRule="auto"/>
        <w:jc w:val="both"/>
        <w:rPr>
          <w:rFonts w:ascii="Times New Roman" w:hAnsi="Times New Roman" w:cs="Times New Roman"/>
          <w:sz w:val="20"/>
          <w:szCs w:val="20"/>
        </w:rPr>
      </w:pPr>
    </w:p>
    <w:p w14:paraId="1AEFB14B" w14:textId="77777777" w:rsidR="00973746" w:rsidRPr="008175C5" w:rsidRDefault="00973746" w:rsidP="00973746">
      <w:pPr>
        <w:spacing w:after="0" w:line="240" w:lineRule="auto"/>
        <w:jc w:val="both"/>
        <w:rPr>
          <w:rFonts w:ascii="Times New Roman" w:hAnsi="Times New Roman" w:cs="Times New Roman"/>
          <w:i/>
          <w:sz w:val="20"/>
          <w:szCs w:val="20"/>
        </w:rPr>
      </w:pPr>
      <w:r w:rsidRPr="008175C5">
        <w:rPr>
          <w:rFonts w:ascii="Times New Roman" w:hAnsi="Times New Roman" w:cs="Times New Roman"/>
          <w:sz w:val="20"/>
          <w:szCs w:val="20"/>
        </w:rPr>
        <w:t>Wright, Erik Olin, “Three Logics of Job Creation in Capitalist Economies,” Presentation of the American Sociological Association panel on “Globalization and Work: Challenges and Responsibilities,” July 2008.</w:t>
      </w:r>
      <w:r w:rsidRPr="008175C5">
        <w:rPr>
          <w:rFonts w:ascii="Times New Roman" w:hAnsi="Times New Roman" w:cs="Times New Roman"/>
          <w:i/>
          <w:sz w:val="20"/>
          <w:szCs w:val="20"/>
        </w:rPr>
        <w:t xml:space="preserve">          </w:t>
      </w:r>
    </w:p>
    <w:p w14:paraId="5E200634" w14:textId="77777777" w:rsidR="00973746" w:rsidRPr="008175C5" w:rsidRDefault="00973746" w:rsidP="00973746">
      <w:pPr>
        <w:spacing w:after="0" w:line="240" w:lineRule="auto"/>
        <w:jc w:val="both"/>
        <w:rPr>
          <w:rFonts w:ascii="Times New Roman" w:hAnsi="Times New Roman" w:cs="Times New Roman"/>
          <w:sz w:val="20"/>
          <w:szCs w:val="20"/>
        </w:rPr>
      </w:pPr>
    </w:p>
    <w:p w14:paraId="5011DA2D" w14:textId="77777777" w:rsidR="00973746" w:rsidRPr="008175C5" w:rsidRDefault="00973746" w:rsidP="00973746">
      <w:pPr>
        <w:spacing w:after="0" w:line="240" w:lineRule="auto"/>
        <w:jc w:val="both"/>
        <w:rPr>
          <w:rFonts w:ascii="Times New Roman" w:hAnsi="Times New Roman" w:cs="Times New Roman"/>
          <w:sz w:val="20"/>
          <w:szCs w:val="20"/>
        </w:rPr>
      </w:pPr>
    </w:p>
    <w:p w14:paraId="61BF37E2" w14:textId="77777777" w:rsidR="00973746" w:rsidRPr="008175C5" w:rsidRDefault="00973746" w:rsidP="00973746">
      <w:pPr>
        <w:spacing w:line="240" w:lineRule="auto"/>
        <w:rPr>
          <w:rFonts w:ascii="Times New Roman" w:eastAsia="Times New Roman" w:hAnsi="Times New Roman" w:cs="Times New Roman"/>
          <w:sz w:val="20"/>
          <w:szCs w:val="20"/>
        </w:rPr>
      </w:pPr>
    </w:p>
    <w:p w14:paraId="16DCF95F" w14:textId="77777777" w:rsidR="00973746" w:rsidRPr="008175C5" w:rsidRDefault="00973746" w:rsidP="00973746">
      <w:pPr>
        <w:spacing w:after="0" w:line="240" w:lineRule="auto"/>
        <w:jc w:val="both"/>
        <w:rPr>
          <w:rFonts w:ascii="Times New Roman" w:hAnsi="Times New Roman" w:cs="Times New Roman"/>
          <w:sz w:val="20"/>
          <w:szCs w:val="20"/>
        </w:rPr>
      </w:pPr>
    </w:p>
    <w:p w14:paraId="5C658357" w14:textId="77777777" w:rsidR="00973746" w:rsidRPr="008175C5" w:rsidRDefault="00973746" w:rsidP="00973746">
      <w:pPr>
        <w:spacing w:line="240" w:lineRule="auto"/>
        <w:rPr>
          <w:rFonts w:ascii="Times New Roman" w:eastAsia="Times New Roman" w:hAnsi="Times New Roman" w:cs="Times New Roman"/>
          <w:sz w:val="20"/>
          <w:szCs w:val="20"/>
        </w:rPr>
      </w:pPr>
    </w:p>
    <w:p w14:paraId="10C6926E" w14:textId="77777777" w:rsidR="00973746" w:rsidRPr="008175C5" w:rsidRDefault="00973746" w:rsidP="00973746">
      <w:pPr>
        <w:spacing w:after="0" w:line="240" w:lineRule="auto"/>
        <w:jc w:val="both"/>
        <w:rPr>
          <w:rFonts w:ascii="Times New Roman" w:hAnsi="Times New Roman" w:cs="Times New Roman"/>
          <w:sz w:val="20"/>
          <w:szCs w:val="20"/>
        </w:rPr>
      </w:pPr>
    </w:p>
    <w:p w14:paraId="794F0512" w14:textId="77777777" w:rsidR="00973746" w:rsidRPr="008175C5" w:rsidRDefault="00973746" w:rsidP="00973746">
      <w:pPr>
        <w:spacing w:after="0" w:line="240" w:lineRule="auto"/>
        <w:rPr>
          <w:rFonts w:ascii="Times New Roman" w:eastAsia="Times New Roman" w:hAnsi="Times New Roman" w:cs="Times New Roman"/>
          <w:sz w:val="20"/>
          <w:szCs w:val="20"/>
        </w:rPr>
      </w:pPr>
    </w:p>
    <w:p w14:paraId="024550C1" w14:textId="77777777" w:rsidR="00973746" w:rsidRPr="008175C5" w:rsidRDefault="00973746" w:rsidP="00973746">
      <w:pPr>
        <w:spacing w:after="0" w:line="240" w:lineRule="auto"/>
        <w:contextualSpacing/>
        <w:rPr>
          <w:rFonts w:ascii="Times New Roman" w:eastAsia="Times New Roman" w:hAnsi="Times New Roman" w:cs="Times New Roman"/>
          <w:sz w:val="20"/>
          <w:szCs w:val="20"/>
        </w:rPr>
      </w:pPr>
    </w:p>
    <w:p w14:paraId="3837A1F4" w14:textId="77777777" w:rsidR="00973746" w:rsidRPr="008175C5" w:rsidRDefault="00973746" w:rsidP="00973746">
      <w:pPr>
        <w:spacing w:after="0" w:line="240" w:lineRule="auto"/>
        <w:rPr>
          <w:rFonts w:ascii="Times New Roman" w:eastAsia="Times New Roman" w:hAnsi="Times New Roman" w:cs="Times New Roman"/>
          <w:sz w:val="20"/>
          <w:szCs w:val="20"/>
        </w:rPr>
      </w:pPr>
      <w:r w:rsidRPr="008175C5">
        <w:rPr>
          <w:rFonts w:ascii="Times New Roman" w:eastAsia="Times New Roman" w:hAnsi="Times New Roman" w:cs="Times New Roman"/>
          <w:sz w:val="20"/>
          <w:szCs w:val="20"/>
        </w:rPr>
        <w:t>.</w:t>
      </w:r>
    </w:p>
    <w:p w14:paraId="681F2967" w14:textId="77777777" w:rsidR="00973746" w:rsidRPr="008175C5" w:rsidRDefault="00973746" w:rsidP="00973746">
      <w:pPr>
        <w:spacing w:line="240" w:lineRule="auto"/>
        <w:rPr>
          <w:rFonts w:ascii="Times New Roman" w:hAnsi="Times New Roman" w:cs="Times New Roman"/>
          <w:sz w:val="20"/>
          <w:szCs w:val="20"/>
        </w:rPr>
      </w:pPr>
    </w:p>
    <w:p w14:paraId="3E198E45" w14:textId="77777777" w:rsidR="00973746" w:rsidRDefault="00973746" w:rsidP="00973746">
      <w:pPr>
        <w:spacing w:after="0" w:line="240" w:lineRule="auto"/>
        <w:jc w:val="both"/>
        <w:rPr>
          <w:rFonts w:ascii="Times New Roman" w:hAnsi="Times New Roman" w:cs="Times New Roman"/>
          <w:sz w:val="24"/>
          <w:szCs w:val="24"/>
        </w:rPr>
      </w:pPr>
    </w:p>
    <w:p w14:paraId="42384738" w14:textId="77777777" w:rsidR="00973746" w:rsidRDefault="00973746" w:rsidP="00411535">
      <w:pPr>
        <w:spacing w:line="240" w:lineRule="auto"/>
        <w:rPr>
          <w:rFonts w:ascii="Times New Roman" w:eastAsia="Times New Roman" w:hAnsi="Times New Roman" w:cs="Times New Roman"/>
          <w:sz w:val="24"/>
          <w:szCs w:val="24"/>
        </w:rPr>
      </w:pPr>
    </w:p>
    <w:p w14:paraId="3AB591CF" w14:textId="77777777" w:rsidR="00411535" w:rsidRPr="00D33DAC" w:rsidRDefault="00411535" w:rsidP="00411535">
      <w:pPr>
        <w:spacing w:line="240" w:lineRule="auto"/>
        <w:contextualSpacing/>
        <w:rPr>
          <w:rFonts w:ascii="Times New Roman" w:eastAsia="Times New Roman" w:hAnsi="Times New Roman" w:cs="Times New Roman"/>
          <w:sz w:val="24"/>
          <w:szCs w:val="24"/>
        </w:rPr>
      </w:pPr>
    </w:p>
    <w:p w14:paraId="475D7FF9" w14:textId="77777777" w:rsidR="00411535" w:rsidRPr="005F431A" w:rsidRDefault="00411535" w:rsidP="008E0831">
      <w:pPr>
        <w:spacing w:after="0" w:line="240" w:lineRule="auto"/>
        <w:rPr>
          <w:rFonts w:ascii="Times New Roman" w:eastAsia="Times New Roman" w:hAnsi="Times New Roman" w:cs="Times New Roman"/>
          <w:sz w:val="24"/>
          <w:szCs w:val="24"/>
        </w:rPr>
      </w:pPr>
    </w:p>
    <w:p w14:paraId="303D38A6" w14:textId="77777777" w:rsidR="008E0831" w:rsidRPr="008B0BD6" w:rsidRDefault="008E0831" w:rsidP="008E0831">
      <w:pPr>
        <w:spacing w:line="240" w:lineRule="auto"/>
        <w:rPr>
          <w:rFonts w:ascii="Times New Roman" w:eastAsia="Times New Roman" w:hAnsi="Times New Roman" w:cs="Times New Roman"/>
          <w:sz w:val="24"/>
          <w:szCs w:val="24"/>
        </w:rPr>
      </w:pPr>
    </w:p>
    <w:p w14:paraId="7818489C" w14:textId="77777777" w:rsidR="008E0831" w:rsidRDefault="008E0831" w:rsidP="008E0831">
      <w:pPr>
        <w:spacing w:line="240" w:lineRule="auto"/>
        <w:contextualSpacing/>
        <w:rPr>
          <w:rFonts w:ascii="Times New Roman" w:eastAsia="Times New Roman" w:hAnsi="Times New Roman" w:cs="Times New Roman"/>
          <w:sz w:val="24"/>
          <w:szCs w:val="24"/>
        </w:rPr>
      </w:pPr>
    </w:p>
    <w:p w14:paraId="0110EEF0" w14:textId="77777777" w:rsidR="008E0831" w:rsidRPr="00D122A2" w:rsidRDefault="008E0831" w:rsidP="008E0831">
      <w:pPr>
        <w:spacing w:line="240" w:lineRule="auto"/>
        <w:rPr>
          <w:rFonts w:ascii="Times New Roman" w:hAnsi="Times New Roman" w:cs="Times New Roman"/>
          <w:sz w:val="24"/>
          <w:szCs w:val="24"/>
        </w:rPr>
      </w:pPr>
    </w:p>
    <w:p w14:paraId="4921FBF4" w14:textId="77777777" w:rsidR="008E0831" w:rsidRPr="008B0BD6" w:rsidRDefault="008E0831" w:rsidP="008E0831">
      <w:pPr>
        <w:spacing w:line="240" w:lineRule="auto"/>
        <w:rPr>
          <w:rFonts w:ascii="Times New Roman" w:eastAsia="Times New Roman" w:hAnsi="Times New Roman" w:cs="Times New Roman"/>
          <w:sz w:val="24"/>
          <w:szCs w:val="24"/>
        </w:rPr>
      </w:pPr>
    </w:p>
    <w:p w14:paraId="6B491CF5" w14:textId="77777777" w:rsidR="008E0831" w:rsidRDefault="008E0831" w:rsidP="008E0831">
      <w:pPr>
        <w:spacing w:line="240" w:lineRule="auto"/>
        <w:rPr>
          <w:rFonts w:ascii="Times New Roman" w:hAnsi="Times New Roman" w:cs="Times New Roman"/>
          <w:sz w:val="24"/>
          <w:szCs w:val="24"/>
        </w:rPr>
      </w:pPr>
    </w:p>
    <w:p w14:paraId="292E3F45" w14:textId="77777777" w:rsidR="008E0831" w:rsidRDefault="008E0831" w:rsidP="008E0831">
      <w:pPr>
        <w:spacing w:after="0" w:line="240" w:lineRule="auto"/>
        <w:jc w:val="both"/>
        <w:rPr>
          <w:rFonts w:ascii="Times New Roman" w:hAnsi="Times New Roman" w:cs="Times New Roman"/>
          <w:sz w:val="24"/>
          <w:szCs w:val="24"/>
        </w:rPr>
      </w:pPr>
    </w:p>
    <w:p w14:paraId="4E01823F" w14:textId="77777777" w:rsidR="008D363E" w:rsidRPr="008E0831" w:rsidRDefault="008D363E" w:rsidP="00E043DB">
      <w:pPr>
        <w:spacing w:after="0" w:line="240" w:lineRule="auto"/>
        <w:jc w:val="both"/>
        <w:rPr>
          <w:rFonts w:ascii="Times New Roman" w:hAnsi="Times New Roman" w:cs="Times New Roman"/>
          <w:sz w:val="24"/>
          <w:szCs w:val="24"/>
        </w:rPr>
      </w:pPr>
    </w:p>
    <w:p w14:paraId="59B7AA95" w14:textId="77777777" w:rsidR="00DF430E" w:rsidRPr="00D14498" w:rsidRDefault="00DF430E" w:rsidP="00DF430E">
      <w:pPr>
        <w:spacing w:after="0" w:line="240" w:lineRule="auto"/>
        <w:contextualSpacing/>
        <w:rPr>
          <w:rFonts w:ascii="Times New Roman" w:eastAsia="Times New Roman" w:hAnsi="Times New Roman" w:cs="Times New Roman"/>
          <w:sz w:val="24"/>
          <w:szCs w:val="24"/>
        </w:rPr>
      </w:pPr>
    </w:p>
    <w:p w14:paraId="0E7D98DB" w14:textId="77777777" w:rsidR="00DF430E" w:rsidRPr="00D14498" w:rsidRDefault="00DF430E" w:rsidP="008B0BD6">
      <w:pPr>
        <w:spacing w:line="240" w:lineRule="auto"/>
        <w:contextualSpacing/>
        <w:rPr>
          <w:rFonts w:ascii="Times New Roman" w:eastAsia="Times New Roman" w:hAnsi="Times New Roman" w:cs="Times New Roman"/>
          <w:sz w:val="24"/>
          <w:szCs w:val="24"/>
        </w:rPr>
      </w:pPr>
    </w:p>
    <w:p w14:paraId="43112484" w14:textId="4E8BD59F" w:rsidR="00791CC4" w:rsidRDefault="00791CC4" w:rsidP="008B0BD6">
      <w:pPr>
        <w:spacing w:line="240" w:lineRule="auto"/>
        <w:contextualSpacing/>
        <w:rPr>
          <w:rFonts w:ascii="Times New Roman" w:eastAsia="Times New Roman" w:hAnsi="Times New Roman" w:cs="Times New Roman"/>
          <w:sz w:val="24"/>
          <w:szCs w:val="24"/>
        </w:rPr>
      </w:pPr>
    </w:p>
    <w:p w14:paraId="0A4A4215" w14:textId="77777777" w:rsidR="00D33DAC" w:rsidRPr="00D2168B" w:rsidRDefault="00D33DAC" w:rsidP="008B0BD6">
      <w:pPr>
        <w:spacing w:line="240" w:lineRule="auto"/>
        <w:contextualSpacing/>
        <w:rPr>
          <w:rFonts w:ascii="Times New Roman" w:eastAsia="Times New Roman" w:hAnsi="Times New Roman" w:cs="Times New Roman"/>
          <w:sz w:val="24"/>
          <w:szCs w:val="24"/>
        </w:rPr>
      </w:pPr>
    </w:p>
    <w:p w14:paraId="722B1533" w14:textId="79D94AD2" w:rsidR="008B0BD6" w:rsidRDefault="008B0BD6" w:rsidP="00D14498">
      <w:pPr>
        <w:spacing w:after="0" w:line="240" w:lineRule="auto"/>
        <w:rPr>
          <w:rFonts w:ascii="Times New Roman" w:eastAsia="Times New Roman" w:hAnsi="Times New Roman" w:cs="Times New Roman"/>
          <w:sz w:val="24"/>
          <w:szCs w:val="24"/>
        </w:rPr>
      </w:pPr>
    </w:p>
    <w:p w14:paraId="3D51992D" w14:textId="7929555C" w:rsidR="00D14498" w:rsidRDefault="00D14498" w:rsidP="00E043DB">
      <w:pPr>
        <w:spacing w:after="0" w:line="240" w:lineRule="auto"/>
        <w:jc w:val="both"/>
        <w:rPr>
          <w:rFonts w:ascii="Times New Roman" w:hAnsi="Times New Roman" w:cs="Times New Roman"/>
          <w:sz w:val="24"/>
          <w:szCs w:val="24"/>
          <w:u w:val="single"/>
        </w:rPr>
      </w:pPr>
    </w:p>
    <w:p w14:paraId="5BEE1089" w14:textId="56FD3415" w:rsidR="004E6B8A" w:rsidRDefault="004E6B8A" w:rsidP="00E043DB">
      <w:pPr>
        <w:spacing w:after="0" w:line="240" w:lineRule="auto"/>
        <w:jc w:val="both"/>
        <w:rPr>
          <w:rFonts w:ascii="Times New Roman" w:hAnsi="Times New Roman" w:cs="Times New Roman"/>
          <w:sz w:val="24"/>
          <w:szCs w:val="24"/>
        </w:rPr>
      </w:pPr>
    </w:p>
    <w:p w14:paraId="25FD12E5" w14:textId="78CAA4C5" w:rsidR="00447387" w:rsidRDefault="00447387" w:rsidP="00E043DB">
      <w:pPr>
        <w:spacing w:after="0" w:line="240" w:lineRule="auto"/>
        <w:jc w:val="both"/>
        <w:rPr>
          <w:rFonts w:ascii="Times New Roman" w:hAnsi="Times New Roman" w:cs="Times New Roman"/>
          <w:sz w:val="24"/>
          <w:szCs w:val="24"/>
        </w:rPr>
      </w:pPr>
    </w:p>
    <w:p w14:paraId="30389A54" w14:textId="06855E3D" w:rsidR="0092065C" w:rsidRDefault="0092065C" w:rsidP="00E043DB">
      <w:pPr>
        <w:spacing w:after="0" w:line="240" w:lineRule="auto"/>
        <w:jc w:val="both"/>
        <w:rPr>
          <w:rFonts w:ascii="Times New Roman" w:hAnsi="Times New Roman" w:cs="Times New Roman"/>
          <w:sz w:val="24"/>
          <w:szCs w:val="24"/>
        </w:rPr>
      </w:pPr>
    </w:p>
    <w:p w14:paraId="418B104B" w14:textId="0EFCDEEC" w:rsidR="00046F01" w:rsidRDefault="00046F01" w:rsidP="00E043DB">
      <w:pPr>
        <w:spacing w:after="0" w:line="240" w:lineRule="auto"/>
        <w:jc w:val="both"/>
        <w:rPr>
          <w:rFonts w:ascii="Times New Roman" w:hAnsi="Times New Roman" w:cs="Times New Roman"/>
          <w:sz w:val="24"/>
          <w:szCs w:val="24"/>
        </w:rPr>
      </w:pPr>
    </w:p>
    <w:p w14:paraId="534B0C5F" w14:textId="0126878F" w:rsidR="00046F01" w:rsidRDefault="00046F01" w:rsidP="00E043DB">
      <w:pPr>
        <w:spacing w:after="0" w:line="240" w:lineRule="auto"/>
        <w:jc w:val="both"/>
        <w:rPr>
          <w:rFonts w:ascii="Times New Roman" w:hAnsi="Times New Roman" w:cs="Times New Roman"/>
          <w:sz w:val="24"/>
          <w:szCs w:val="24"/>
        </w:rPr>
      </w:pPr>
    </w:p>
    <w:p w14:paraId="79B971D5" w14:textId="5A50FB94" w:rsidR="00046F01" w:rsidRDefault="00046F01" w:rsidP="00E043DB">
      <w:pPr>
        <w:spacing w:after="0" w:line="240" w:lineRule="auto"/>
        <w:jc w:val="both"/>
        <w:rPr>
          <w:rFonts w:ascii="Times New Roman" w:hAnsi="Times New Roman" w:cs="Times New Roman"/>
          <w:sz w:val="24"/>
          <w:szCs w:val="24"/>
        </w:rPr>
      </w:pPr>
    </w:p>
    <w:sectPr w:rsidR="00046F0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D4291" w14:textId="77777777" w:rsidR="00265483" w:rsidRDefault="00265483" w:rsidP="00591A95">
      <w:pPr>
        <w:spacing w:after="0" w:line="240" w:lineRule="auto"/>
      </w:pPr>
      <w:r>
        <w:separator/>
      </w:r>
    </w:p>
  </w:endnote>
  <w:endnote w:type="continuationSeparator" w:id="0">
    <w:p w14:paraId="7301B41C" w14:textId="77777777" w:rsidR="00265483" w:rsidRDefault="00265483" w:rsidP="0059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50914"/>
      <w:docPartObj>
        <w:docPartGallery w:val="Page Numbers (Bottom of Page)"/>
        <w:docPartUnique/>
      </w:docPartObj>
    </w:sdtPr>
    <w:sdtEndPr>
      <w:rPr>
        <w:noProof/>
      </w:rPr>
    </w:sdtEndPr>
    <w:sdtContent>
      <w:p w14:paraId="52D5814C" w14:textId="355B162F" w:rsidR="00C646B2" w:rsidRDefault="00C646B2">
        <w:pPr>
          <w:pStyle w:val="Footer"/>
          <w:jc w:val="center"/>
        </w:pPr>
        <w:r>
          <w:fldChar w:fldCharType="begin"/>
        </w:r>
        <w:r>
          <w:instrText xml:space="preserve"> PAGE   \* MERGEFORMAT </w:instrText>
        </w:r>
        <w:r>
          <w:fldChar w:fldCharType="separate"/>
        </w:r>
        <w:r w:rsidR="00467DEB">
          <w:rPr>
            <w:noProof/>
          </w:rPr>
          <w:t>2</w:t>
        </w:r>
        <w:r>
          <w:rPr>
            <w:noProof/>
          </w:rPr>
          <w:fldChar w:fldCharType="end"/>
        </w:r>
      </w:p>
    </w:sdtContent>
  </w:sdt>
  <w:p w14:paraId="7CF495BD" w14:textId="77777777" w:rsidR="00C646B2" w:rsidRDefault="00C64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E159D" w14:textId="77777777" w:rsidR="00265483" w:rsidRDefault="00265483" w:rsidP="00591A95">
      <w:pPr>
        <w:spacing w:after="0" w:line="240" w:lineRule="auto"/>
      </w:pPr>
      <w:r>
        <w:separator/>
      </w:r>
    </w:p>
  </w:footnote>
  <w:footnote w:type="continuationSeparator" w:id="0">
    <w:p w14:paraId="73555761" w14:textId="77777777" w:rsidR="00265483" w:rsidRDefault="00265483" w:rsidP="00591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E2E"/>
    <w:multiLevelType w:val="hybridMultilevel"/>
    <w:tmpl w:val="BFC0D38A"/>
    <w:lvl w:ilvl="0" w:tplc="5902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7051D"/>
    <w:multiLevelType w:val="hybridMultilevel"/>
    <w:tmpl w:val="A6C8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32A9A"/>
    <w:multiLevelType w:val="hybridMultilevel"/>
    <w:tmpl w:val="1184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46504"/>
    <w:multiLevelType w:val="hybridMultilevel"/>
    <w:tmpl w:val="27788742"/>
    <w:lvl w:ilvl="0" w:tplc="0409000F">
      <w:start w:val="1"/>
      <w:numFmt w:val="decimal"/>
      <w:lvlText w:val="%1."/>
      <w:lvlJc w:val="left"/>
      <w:pPr>
        <w:tabs>
          <w:tab w:val="num" w:pos="810"/>
        </w:tabs>
        <w:ind w:left="81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4" w15:restartNumberingAfterBreak="0">
    <w:nsid w:val="16F44397"/>
    <w:multiLevelType w:val="hybridMultilevel"/>
    <w:tmpl w:val="D2CEA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70F97"/>
    <w:multiLevelType w:val="hybridMultilevel"/>
    <w:tmpl w:val="9A82E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A36F2E"/>
    <w:multiLevelType w:val="hybridMultilevel"/>
    <w:tmpl w:val="7744E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C78C4"/>
    <w:multiLevelType w:val="hybridMultilevel"/>
    <w:tmpl w:val="95C2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31A38"/>
    <w:multiLevelType w:val="hybridMultilevel"/>
    <w:tmpl w:val="00DAEA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1D6D77"/>
    <w:multiLevelType w:val="hybridMultilevel"/>
    <w:tmpl w:val="9B66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51EFE"/>
    <w:multiLevelType w:val="hybridMultilevel"/>
    <w:tmpl w:val="7236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65277"/>
    <w:multiLevelType w:val="hybridMultilevel"/>
    <w:tmpl w:val="9DC2957A"/>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4957609D"/>
    <w:multiLevelType w:val="hybridMultilevel"/>
    <w:tmpl w:val="9DC2957A"/>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E764DD8"/>
    <w:multiLevelType w:val="hybridMultilevel"/>
    <w:tmpl w:val="D52A2FA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512A1"/>
    <w:multiLevelType w:val="hybridMultilevel"/>
    <w:tmpl w:val="C762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73654"/>
    <w:multiLevelType w:val="hybridMultilevel"/>
    <w:tmpl w:val="D5F4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407F3"/>
    <w:multiLevelType w:val="hybridMultilevel"/>
    <w:tmpl w:val="4EB4D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C57B8"/>
    <w:multiLevelType w:val="hybridMultilevel"/>
    <w:tmpl w:val="12DC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F0C37"/>
    <w:multiLevelType w:val="hybridMultilevel"/>
    <w:tmpl w:val="7466E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2C00FD"/>
    <w:multiLevelType w:val="hybridMultilevel"/>
    <w:tmpl w:val="4450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24678"/>
    <w:multiLevelType w:val="hybridMultilevel"/>
    <w:tmpl w:val="4BB4C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56972"/>
    <w:multiLevelType w:val="hybridMultilevel"/>
    <w:tmpl w:val="0366D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4"/>
  </w:num>
  <w:num w:numId="7">
    <w:abstractNumId w:val="1"/>
  </w:num>
  <w:num w:numId="8">
    <w:abstractNumId w:val="13"/>
  </w:num>
  <w:num w:numId="9">
    <w:abstractNumId w:val="12"/>
  </w:num>
  <w:num w:numId="10">
    <w:abstractNumId w:val="11"/>
  </w:num>
  <w:num w:numId="11">
    <w:abstractNumId w:val="17"/>
  </w:num>
  <w:num w:numId="12">
    <w:abstractNumId w:val="9"/>
  </w:num>
  <w:num w:numId="13">
    <w:abstractNumId w:val="0"/>
  </w:num>
  <w:num w:numId="14">
    <w:abstractNumId w:val="10"/>
  </w:num>
  <w:num w:numId="15">
    <w:abstractNumId w:val="16"/>
  </w:num>
  <w:num w:numId="16">
    <w:abstractNumId w:val="6"/>
  </w:num>
  <w:num w:numId="17">
    <w:abstractNumId w:val="7"/>
  </w:num>
  <w:num w:numId="18">
    <w:abstractNumId w:val="5"/>
  </w:num>
  <w:num w:numId="19">
    <w:abstractNumId w:val="2"/>
  </w:num>
  <w:num w:numId="20">
    <w:abstractNumId w:val="20"/>
  </w:num>
  <w:num w:numId="21">
    <w:abstractNumId w:val="19"/>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DB"/>
    <w:rsid w:val="000137BF"/>
    <w:rsid w:val="000346AF"/>
    <w:rsid w:val="00036CD6"/>
    <w:rsid w:val="00043308"/>
    <w:rsid w:val="00046F01"/>
    <w:rsid w:val="00050DC4"/>
    <w:rsid w:val="00070D9F"/>
    <w:rsid w:val="0007161C"/>
    <w:rsid w:val="0007206C"/>
    <w:rsid w:val="00073AF0"/>
    <w:rsid w:val="00076CC2"/>
    <w:rsid w:val="00082521"/>
    <w:rsid w:val="000A41D2"/>
    <w:rsid w:val="000B0560"/>
    <w:rsid w:val="000B7EDD"/>
    <w:rsid w:val="000B7F0C"/>
    <w:rsid w:val="000C4361"/>
    <w:rsid w:val="000C6691"/>
    <w:rsid w:val="000E717D"/>
    <w:rsid w:val="0010370D"/>
    <w:rsid w:val="0012277D"/>
    <w:rsid w:val="00143554"/>
    <w:rsid w:val="00145613"/>
    <w:rsid w:val="00157043"/>
    <w:rsid w:val="00172E40"/>
    <w:rsid w:val="0017318A"/>
    <w:rsid w:val="00177FE3"/>
    <w:rsid w:val="00191238"/>
    <w:rsid w:val="00195624"/>
    <w:rsid w:val="001A639B"/>
    <w:rsid w:val="001B5496"/>
    <w:rsid w:val="001D1335"/>
    <w:rsid w:val="001D556D"/>
    <w:rsid w:val="001D6938"/>
    <w:rsid w:val="001E4D84"/>
    <w:rsid w:val="001F4AE1"/>
    <w:rsid w:val="00200EDF"/>
    <w:rsid w:val="00204EA3"/>
    <w:rsid w:val="00217A59"/>
    <w:rsid w:val="002223A0"/>
    <w:rsid w:val="00240A23"/>
    <w:rsid w:val="00261FBE"/>
    <w:rsid w:val="00262A21"/>
    <w:rsid w:val="00264C10"/>
    <w:rsid w:val="00265483"/>
    <w:rsid w:val="00265F11"/>
    <w:rsid w:val="00267833"/>
    <w:rsid w:val="00270339"/>
    <w:rsid w:val="002708E5"/>
    <w:rsid w:val="00274748"/>
    <w:rsid w:val="00276392"/>
    <w:rsid w:val="00276CD9"/>
    <w:rsid w:val="0029738A"/>
    <w:rsid w:val="002A6074"/>
    <w:rsid w:val="002B1D1A"/>
    <w:rsid w:val="002B4BD0"/>
    <w:rsid w:val="002B78CF"/>
    <w:rsid w:val="002F45D1"/>
    <w:rsid w:val="002F4BA0"/>
    <w:rsid w:val="00332243"/>
    <w:rsid w:val="00337FF8"/>
    <w:rsid w:val="00344981"/>
    <w:rsid w:val="00346A82"/>
    <w:rsid w:val="00346ED3"/>
    <w:rsid w:val="00353001"/>
    <w:rsid w:val="003729B5"/>
    <w:rsid w:val="003826F2"/>
    <w:rsid w:val="00385FFD"/>
    <w:rsid w:val="003B7F67"/>
    <w:rsid w:val="003C6659"/>
    <w:rsid w:val="003D0142"/>
    <w:rsid w:val="003D2634"/>
    <w:rsid w:val="003E3E2D"/>
    <w:rsid w:val="00407FA9"/>
    <w:rsid w:val="00411535"/>
    <w:rsid w:val="00416822"/>
    <w:rsid w:val="00416D59"/>
    <w:rsid w:val="00447387"/>
    <w:rsid w:val="00447CAB"/>
    <w:rsid w:val="00456DB7"/>
    <w:rsid w:val="0046466D"/>
    <w:rsid w:val="00467DEB"/>
    <w:rsid w:val="00476CB6"/>
    <w:rsid w:val="0047701B"/>
    <w:rsid w:val="0048202F"/>
    <w:rsid w:val="00484BB1"/>
    <w:rsid w:val="00485EF6"/>
    <w:rsid w:val="00497258"/>
    <w:rsid w:val="004A01F2"/>
    <w:rsid w:val="004C2389"/>
    <w:rsid w:val="004D05FF"/>
    <w:rsid w:val="004E6B8A"/>
    <w:rsid w:val="004F08C4"/>
    <w:rsid w:val="004F7E5D"/>
    <w:rsid w:val="005013D6"/>
    <w:rsid w:val="005078A6"/>
    <w:rsid w:val="00520956"/>
    <w:rsid w:val="005214D2"/>
    <w:rsid w:val="00530902"/>
    <w:rsid w:val="0053755E"/>
    <w:rsid w:val="005463F8"/>
    <w:rsid w:val="005562BD"/>
    <w:rsid w:val="0056074D"/>
    <w:rsid w:val="00563A78"/>
    <w:rsid w:val="005707E7"/>
    <w:rsid w:val="0057388B"/>
    <w:rsid w:val="00577B12"/>
    <w:rsid w:val="005873E8"/>
    <w:rsid w:val="00591A95"/>
    <w:rsid w:val="0059342B"/>
    <w:rsid w:val="0059370E"/>
    <w:rsid w:val="005A03CF"/>
    <w:rsid w:val="005A4696"/>
    <w:rsid w:val="005A6FF8"/>
    <w:rsid w:val="005B2E50"/>
    <w:rsid w:val="005D4172"/>
    <w:rsid w:val="005D5C44"/>
    <w:rsid w:val="005E57F1"/>
    <w:rsid w:val="005F431A"/>
    <w:rsid w:val="005F74DF"/>
    <w:rsid w:val="00600FC5"/>
    <w:rsid w:val="00611F83"/>
    <w:rsid w:val="006167C1"/>
    <w:rsid w:val="00620F82"/>
    <w:rsid w:val="00647043"/>
    <w:rsid w:val="00654063"/>
    <w:rsid w:val="00666629"/>
    <w:rsid w:val="00667061"/>
    <w:rsid w:val="00672851"/>
    <w:rsid w:val="00674931"/>
    <w:rsid w:val="00682551"/>
    <w:rsid w:val="006866AB"/>
    <w:rsid w:val="006933A1"/>
    <w:rsid w:val="006969A7"/>
    <w:rsid w:val="006B306B"/>
    <w:rsid w:val="006B3B61"/>
    <w:rsid w:val="006B63CA"/>
    <w:rsid w:val="006B6C34"/>
    <w:rsid w:val="006E26A5"/>
    <w:rsid w:val="006E67A0"/>
    <w:rsid w:val="006F60A5"/>
    <w:rsid w:val="006F6E7D"/>
    <w:rsid w:val="006F6FEF"/>
    <w:rsid w:val="00703C2E"/>
    <w:rsid w:val="00704622"/>
    <w:rsid w:val="00706F95"/>
    <w:rsid w:val="00710543"/>
    <w:rsid w:val="00712CAB"/>
    <w:rsid w:val="007151AC"/>
    <w:rsid w:val="00720DA2"/>
    <w:rsid w:val="007269B0"/>
    <w:rsid w:val="007279FA"/>
    <w:rsid w:val="0073305B"/>
    <w:rsid w:val="007525E9"/>
    <w:rsid w:val="007608C7"/>
    <w:rsid w:val="0076205D"/>
    <w:rsid w:val="007620EF"/>
    <w:rsid w:val="00775199"/>
    <w:rsid w:val="00781D50"/>
    <w:rsid w:val="007918EF"/>
    <w:rsid w:val="00791CC4"/>
    <w:rsid w:val="00791E90"/>
    <w:rsid w:val="007921B7"/>
    <w:rsid w:val="007A73C6"/>
    <w:rsid w:val="007B4706"/>
    <w:rsid w:val="007B6127"/>
    <w:rsid w:val="007C0357"/>
    <w:rsid w:val="007C6561"/>
    <w:rsid w:val="007D4F55"/>
    <w:rsid w:val="007E02F6"/>
    <w:rsid w:val="007E1A28"/>
    <w:rsid w:val="007E44FF"/>
    <w:rsid w:val="007E636D"/>
    <w:rsid w:val="00803AFF"/>
    <w:rsid w:val="00807852"/>
    <w:rsid w:val="0081024E"/>
    <w:rsid w:val="008175C5"/>
    <w:rsid w:val="00842BFC"/>
    <w:rsid w:val="00844127"/>
    <w:rsid w:val="0084602B"/>
    <w:rsid w:val="00866B77"/>
    <w:rsid w:val="00871E52"/>
    <w:rsid w:val="00873A9C"/>
    <w:rsid w:val="008803A5"/>
    <w:rsid w:val="00880716"/>
    <w:rsid w:val="0089772F"/>
    <w:rsid w:val="00897D1B"/>
    <w:rsid w:val="008A3CA5"/>
    <w:rsid w:val="008A59EE"/>
    <w:rsid w:val="008B0BD6"/>
    <w:rsid w:val="008B5802"/>
    <w:rsid w:val="008C25D9"/>
    <w:rsid w:val="008D363E"/>
    <w:rsid w:val="008D6C43"/>
    <w:rsid w:val="008E0831"/>
    <w:rsid w:val="008F4627"/>
    <w:rsid w:val="008F725A"/>
    <w:rsid w:val="00905F48"/>
    <w:rsid w:val="00910933"/>
    <w:rsid w:val="0092065C"/>
    <w:rsid w:val="0092183E"/>
    <w:rsid w:val="00937512"/>
    <w:rsid w:val="009433A4"/>
    <w:rsid w:val="009527F9"/>
    <w:rsid w:val="00952F51"/>
    <w:rsid w:val="00954FC8"/>
    <w:rsid w:val="00964E2A"/>
    <w:rsid w:val="009654AD"/>
    <w:rsid w:val="00973746"/>
    <w:rsid w:val="00977A05"/>
    <w:rsid w:val="009840A6"/>
    <w:rsid w:val="00984D54"/>
    <w:rsid w:val="00990CE8"/>
    <w:rsid w:val="00991C8A"/>
    <w:rsid w:val="009A0B2B"/>
    <w:rsid w:val="009A53B3"/>
    <w:rsid w:val="009A7A43"/>
    <w:rsid w:val="009B3B34"/>
    <w:rsid w:val="009B5074"/>
    <w:rsid w:val="009B5179"/>
    <w:rsid w:val="009B5623"/>
    <w:rsid w:val="009C7961"/>
    <w:rsid w:val="009D0B41"/>
    <w:rsid w:val="009E6C9B"/>
    <w:rsid w:val="00A009D0"/>
    <w:rsid w:val="00A06A7E"/>
    <w:rsid w:val="00A072E8"/>
    <w:rsid w:val="00A10436"/>
    <w:rsid w:val="00A12A49"/>
    <w:rsid w:val="00A14A1F"/>
    <w:rsid w:val="00A22522"/>
    <w:rsid w:val="00A2500A"/>
    <w:rsid w:val="00A40DAF"/>
    <w:rsid w:val="00A43BC9"/>
    <w:rsid w:val="00A6284B"/>
    <w:rsid w:val="00A64F46"/>
    <w:rsid w:val="00A6653A"/>
    <w:rsid w:val="00A6797D"/>
    <w:rsid w:val="00A71311"/>
    <w:rsid w:val="00A75C0E"/>
    <w:rsid w:val="00A941B6"/>
    <w:rsid w:val="00A94C96"/>
    <w:rsid w:val="00A9581F"/>
    <w:rsid w:val="00AA3435"/>
    <w:rsid w:val="00AD10DE"/>
    <w:rsid w:val="00AD623E"/>
    <w:rsid w:val="00AE0C6F"/>
    <w:rsid w:val="00AF291A"/>
    <w:rsid w:val="00B109E8"/>
    <w:rsid w:val="00B12C45"/>
    <w:rsid w:val="00B2094C"/>
    <w:rsid w:val="00B262AD"/>
    <w:rsid w:val="00B277FA"/>
    <w:rsid w:val="00B333C8"/>
    <w:rsid w:val="00B366C3"/>
    <w:rsid w:val="00B3688A"/>
    <w:rsid w:val="00B40134"/>
    <w:rsid w:val="00B44BDC"/>
    <w:rsid w:val="00B51389"/>
    <w:rsid w:val="00B55D6A"/>
    <w:rsid w:val="00B645DB"/>
    <w:rsid w:val="00B73D7A"/>
    <w:rsid w:val="00B75311"/>
    <w:rsid w:val="00B809C4"/>
    <w:rsid w:val="00B81701"/>
    <w:rsid w:val="00B8576B"/>
    <w:rsid w:val="00B91016"/>
    <w:rsid w:val="00B935A7"/>
    <w:rsid w:val="00BA3B4D"/>
    <w:rsid w:val="00BA4B83"/>
    <w:rsid w:val="00BA6F7C"/>
    <w:rsid w:val="00BB13F7"/>
    <w:rsid w:val="00BC03FA"/>
    <w:rsid w:val="00BC7692"/>
    <w:rsid w:val="00BD68EC"/>
    <w:rsid w:val="00BE4359"/>
    <w:rsid w:val="00BF1C8E"/>
    <w:rsid w:val="00BF7185"/>
    <w:rsid w:val="00C056E6"/>
    <w:rsid w:val="00C1272B"/>
    <w:rsid w:val="00C16EC7"/>
    <w:rsid w:val="00C200C3"/>
    <w:rsid w:val="00C45586"/>
    <w:rsid w:val="00C50769"/>
    <w:rsid w:val="00C5706D"/>
    <w:rsid w:val="00C634B5"/>
    <w:rsid w:val="00C646B2"/>
    <w:rsid w:val="00C80EB7"/>
    <w:rsid w:val="00C81CE8"/>
    <w:rsid w:val="00CA2B90"/>
    <w:rsid w:val="00CB217E"/>
    <w:rsid w:val="00CB4C73"/>
    <w:rsid w:val="00CB7521"/>
    <w:rsid w:val="00CC04CE"/>
    <w:rsid w:val="00CD0CFA"/>
    <w:rsid w:val="00CD353A"/>
    <w:rsid w:val="00CD4A41"/>
    <w:rsid w:val="00CF6AEB"/>
    <w:rsid w:val="00D062AA"/>
    <w:rsid w:val="00D122A2"/>
    <w:rsid w:val="00D14498"/>
    <w:rsid w:val="00D2168B"/>
    <w:rsid w:val="00D33DAC"/>
    <w:rsid w:val="00D343CE"/>
    <w:rsid w:val="00D35099"/>
    <w:rsid w:val="00D42548"/>
    <w:rsid w:val="00D55C3A"/>
    <w:rsid w:val="00D67DEB"/>
    <w:rsid w:val="00D751F8"/>
    <w:rsid w:val="00D756E5"/>
    <w:rsid w:val="00D76565"/>
    <w:rsid w:val="00D90F38"/>
    <w:rsid w:val="00DA124F"/>
    <w:rsid w:val="00DA6022"/>
    <w:rsid w:val="00DB6D0A"/>
    <w:rsid w:val="00DC089E"/>
    <w:rsid w:val="00DD5E97"/>
    <w:rsid w:val="00DE0DD8"/>
    <w:rsid w:val="00DF430E"/>
    <w:rsid w:val="00E043DB"/>
    <w:rsid w:val="00E11AA8"/>
    <w:rsid w:val="00E11BF0"/>
    <w:rsid w:val="00E23528"/>
    <w:rsid w:val="00E31AD9"/>
    <w:rsid w:val="00E321C7"/>
    <w:rsid w:val="00E3438A"/>
    <w:rsid w:val="00E43904"/>
    <w:rsid w:val="00E57F18"/>
    <w:rsid w:val="00E63CB0"/>
    <w:rsid w:val="00EA1687"/>
    <w:rsid w:val="00EC7DC5"/>
    <w:rsid w:val="00ED665D"/>
    <w:rsid w:val="00EE04E9"/>
    <w:rsid w:val="00F014E0"/>
    <w:rsid w:val="00F0219E"/>
    <w:rsid w:val="00F06F70"/>
    <w:rsid w:val="00F337D1"/>
    <w:rsid w:val="00F3507C"/>
    <w:rsid w:val="00F36013"/>
    <w:rsid w:val="00F44225"/>
    <w:rsid w:val="00F47913"/>
    <w:rsid w:val="00F83F00"/>
    <w:rsid w:val="00FA1CD0"/>
    <w:rsid w:val="00FA5F0C"/>
    <w:rsid w:val="00FA5F42"/>
    <w:rsid w:val="00FB0D61"/>
    <w:rsid w:val="00FB7B3D"/>
    <w:rsid w:val="00FB7CA7"/>
    <w:rsid w:val="00FC3110"/>
    <w:rsid w:val="00FC751E"/>
    <w:rsid w:val="00FD0DCB"/>
    <w:rsid w:val="00FD15DF"/>
    <w:rsid w:val="00FD3188"/>
    <w:rsid w:val="00FD35D4"/>
    <w:rsid w:val="00FD65A5"/>
    <w:rsid w:val="00FF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A9DE"/>
  <w15:chartTrackingRefBased/>
  <w15:docId w15:val="{C553F400-AE68-4085-AF5E-24BB8E39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6C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17D"/>
    <w:rPr>
      <w:color w:val="0000FF"/>
      <w:u w:val="single"/>
    </w:rPr>
  </w:style>
  <w:style w:type="paragraph" w:styleId="NormalWeb">
    <w:name w:val="Normal (Web)"/>
    <w:basedOn w:val="Normal"/>
    <w:uiPriority w:val="99"/>
    <w:semiHidden/>
    <w:unhideWhenUsed/>
    <w:rsid w:val="00842B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EDD"/>
    <w:rPr>
      <w:rFonts w:ascii="Segoe UI" w:hAnsi="Segoe UI" w:cs="Segoe UI"/>
      <w:sz w:val="18"/>
      <w:szCs w:val="18"/>
    </w:rPr>
  </w:style>
  <w:style w:type="table" w:styleId="TableGrid">
    <w:name w:val="Table Grid"/>
    <w:basedOn w:val="TableNormal"/>
    <w:uiPriority w:val="59"/>
    <w:rsid w:val="007A73C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B2E5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A95"/>
  </w:style>
  <w:style w:type="paragraph" w:styleId="Footer">
    <w:name w:val="footer"/>
    <w:basedOn w:val="Normal"/>
    <w:link w:val="FooterChar"/>
    <w:uiPriority w:val="99"/>
    <w:unhideWhenUsed/>
    <w:rsid w:val="00591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A95"/>
  </w:style>
  <w:style w:type="character" w:customStyle="1" w:styleId="UnresolvedMention">
    <w:name w:val="Unresolved Mention"/>
    <w:basedOn w:val="DefaultParagraphFont"/>
    <w:uiPriority w:val="99"/>
    <w:semiHidden/>
    <w:unhideWhenUsed/>
    <w:rsid w:val="00682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ocktondemonstr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ellbeing.sm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AFD80-7693-40DB-9338-3851F7E5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9669</Words>
  <Characters>55118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Ervin Huang</cp:lastModifiedBy>
  <cp:revision>2</cp:revision>
  <cp:lastPrinted>2019-02-21T19:49:00Z</cp:lastPrinted>
  <dcterms:created xsi:type="dcterms:W3CDTF">2019-03-25T16:07:00Z</dcterms:created>
  <dcterms:modified xsi:type="dcterms:W3CDTF">2019-03-25T16:07:00Z</dcterms:modified>
</cp:coreProperties>
</file>