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3556F" w14:textId="1DF4B752" w:rsidR="00D12949" w:rsidRPr="009143B2" w:rsidRDefault="005E7544" w:rsidP="00394A37">
      <w:pPr>
        <w:spacing w:after="0" w:line="240" w:lineRule="auto"/>
        <w:rPr>
          <w:b/>
          <w:bCs/>
          <w:color w:val="4472C4" w:themeColor="accent1"/>
          <w:sz w:val="32"/>
          <w:szCs w:val="32"/>
        </w:rPr>
      </w:pPr>
      <w:r w:rsidRPr="009143B2">
        <w:rPr>
          <w:b/>
          <w:bCs/>
          <w:color w:val="4472C4" w:themeColor="accent1"/>
          <w:sz w:val="32"/>
          <w:szCs w:val="32"/>
        </w:rPr>
        <w:t xml:space="preserve">LSPA </w:t>
      </w:r>
      <w:r w:rsidR="00415A3F" w:rsidRPr="009143B2">
        <w:rPr>
          <w:b/>
          <w:bCs/>
          <w:color w:val="4472C4" w:themeColor="accent1"/>
          <w:sz w:val="32"/>
          <w:szCs w:val="32"/>
        </w:rPr>
        <w:t>Proposal Budget Checklist</w:t>
      </w:r>
    </w:p>
    <w:p w14:paraId="467608C8" w14:textId="7C8EB560" w:rsidR="00415A3F" w:rsidRDefault="00415A3F" w:rsidP="00394A37">
      <w:pPr>
        <w:spacing w:after="0" w:line="240" w:lineRule="auto"/>
      </w:pPr>
      <w:r>
        <w:t>Th</w:t>
      </w:r>
      <w:r w:rsidR="00562D21">
        <w:t xml:space="preserve">e following budget checklist is a </w:t>
      </w:r>
      <w:r w:rsidR="00562D21" w:rsidRPr="009340F2">
        <w:rPr>
          <w:b/>
          <w:bCs/>
          <w:i/>
          <w:iCs/>
          <w:u w:val="single"/>
        </w:rPr>
        <w:t>generalized</w:t>
      </w:r>
      <w:r w:rsidR="00562D21" w:rsidRPr="002D4590">
        <w:rPr>
          <w:i/>
          <w:iCs/>
          <w:u w:val="single"/>
        </w:rPr>
        <w:t xml:space="preserve"> </w:t>
      </w:r>
      <w:r w:rsidR="009340F2">
        <w:t>lis</w:t>
      </w:r>
      <w:r w:rsidR="00562D21">
        <w:t>t of common budget categories found in most proposals</w:t>
      </w:r>
      <w:r w:rsidR="00F61F60">
        <w:t xml:space="preserve">. </w:t>
      </w:r>
      <w:r w:rsidR="00562D21">
        <w:t xml:space="preserve">Actual budget categories will vary by sponsor. </w:t>
      </w:r>
      <w:r w:rsidRPr="00CD3DA5">
        <w:rPr>
          <w:b/>
          <w:bCs/>
        </w:rPr>
        <w:t xml:space="preserve">Please </w:t>
      </w:r>
      <w:r w:rsidR="00562D21" w:rsidRPr="00CD3DA5">
        <w:rPr>
          <w:b/>
          <w:bCs/>
        </w:rPr>
        <w:t>consult</w:t>
      </w:r>
      <w:r w:rsidRPr="00CD3DA5">
        <w:rPr>
          <w:b/>
          <w:bCs/>
        </w:rPr>
        <w:t xml:space="preserve"> with your assigned </w:t>
      </w:r>
      <w:r w:rsidR="00EC3315">
        <w:rPr>
          <w:b/>
          <w:bCs/>
        </w:rPr>
        <w:t xml:space="preserve">fund </w:t>
      </w:r>
      <w:r w:rsidRPr="00CD3DA5">
        <w:rPr>
          <w:b/>
          <w:bCs/>
        </w:rPr>
        <w:t>manager</w:t>
      </w:r>
      <w:r>
        <w:t xml:space="preserve"> to discuss sponsor approved categories</w:t>
      </w:r>
      <w:r w:rsidR="00BB7B0C">
        <w:t xml:space="preserve"> </w:t>
      </w:r>
      <w:r w:rsidR="00EC3315">
        <w:t xml:space="preserve">per </w:t>
      </w:r>
      <w:r w:rsidR="00BB7B0C">
        <w:t>sponsor guidelines</w:t>
      </w:r>
      <w:r>
        <w:t xml:space="preserve"> </w:t>
      </w:r>
      <w:r w:rsidR="00BA15C5">
        <w:t xml:space="preserve">and </w:t>
      </w:r>
      <w:r w:rsidR="00EC3315">
        <w:t xml:space="preserve">to </w:t>
      </w:r>
      <w:r w:rsidR="00BA15C5">
        <w:t xml:space="preserve">formalize a budget draft </w:t>
      </w:r>
      <w:r w:rsidR="00EC3315">
        <w:t>for</w:t>
      </w:r>
      <w:r w:rsidR="00BA15C5">
        <w:t xml:space="preserve"> your proposal. </w:t>
      </w:r>
    </w:p>
    <w:p w14:paraId="259F1E8C" w14:textId="77777777" w:rsidR="00D16FC8" w:rsidRDefault="00D16FC8" w:rsidP="00394A37">
      <w:pPr>
        <w:spacing w:after="0" w:line="240" w:lineRule="auto"/>
      </w:pPr>
    </w:p>
    <w:p w14:paraId="5F352B43" w14:textId="6FE492D0" w:rsidR="00D16FC8" w:rsidRDefault="009340F2" w:rsidP="009340F2">
      <w:pPr>
        <w:spacing w:after="0" w:line="240" w:lineRule="auto"/>
      </w:pPr>
      <w:r>
        <w:t>*</w:t>
      </w:r>
      <w:r w:rsidR="00CE6C87">
        <w:t>Please r</w:t>
      </w:r>
      <w:r w:rsidR="00D16FC8">
        <w:t xml:space="preserve">eview the </w:t>
      </w:r>
      <w:r w:rsidR="00D16FC8" w:rsidRPr="009340F2">
        <w:rPr>
          <w:i/>
          <w:iCs/>
        </w:rPr>
        <w:t>LSPA PI Budget Guide</w:t>
      </w:r>
      <w:r w:rsidR="00D16FC8">
        <w:t xml:space="preserve"> and/or </w:t>
      </w:r>
      <w:r w:rsidR="00D16FC8" w:rsidRPr="009340F2">
        <w:rPr>
          <w:i/>
          <w:iCs/>
        </w:rPr>
        <w:t>LSPA Proposal Budget Basics Guide</w:t>
      </w:r>
      <w:r w:rsidR="00D16FC8">
        <w:t xml:space="preserve"> for a more detailed explanation of the general budget categories below.</w:t>
      </w:r>
    </w:p>
    <w:p w14:paraId="502D2CE0" w14:textId="77777777" w:rsidR="00394A37" w:rsidRDefault="00394A37" w:rsidP="00394A37">
      <w:pPr>
        <w:spacing w:after="0" w:line="240" w:lineRule="auto"/>
      </w:pPr>
    </w:p>
    <w:p w14:paraId="789B6EFF" w14:textId="430BB502" w:rsidR="009143B2" w:rsidRPr="009143B2" w:rsidRDefault="0011291D" w:rsidP="00394A37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9143B2">
        <w:rPr>
          <w:b/>
          <w:bCs/>
          <w:color w:val="4472C4" w:themeColor="accent1"/>
          <w:sz w:val="24"/>
          <w:szCs w:val="24"/>
        </w:rPr>
        <w:t>GETTING STARTED</w:t>
      </w:r>
      <w:r w:rsidR="009143B2" w:rsidRPr="009143B2">
        <w:rPr>
          <w:b/>
          <w:bCs/>
          <w:color w:val="4472C4" w:themeColor="accent1"/>
          <w:sz w:val="24"/>
          <w:szCs w:val="24"/>
        </w:rPr>
        <w:t xml:space="preserve"> </w:t>
      </w:r>
    </w:p>
    <w:p w14:paraId="230913C5" w14:textId="32301B86" w:rsidR="0011291D" w:rsidRDefault="0011291D" w:rsidP="00394A37">
      <w:pPr>
        <w:spacing w:after="0" w:line="240" w:lineRule="auto"/>
      </w:pPr>
      <w:r>
        <w:t>Your assigned fund manager will need the following information:</w:t>
      </w:r>
    </w:p>
    <w:p w14:paraId="5FADF6B3" w14:textId="77777777" w:rsidR="00BB7B0C" w:rsidRDefault="00BB7B0C" w:rsidP="0011291D">
      <w:pPr>
        <w:pStyle w:val="ListParagraph"/>
        <w:numPr>
          <w:ilvl w:val="0"/>
          <w:numId w:val="5"/>
        </w:numPr>
        <w:spacing w:after="0" w:line="240" w:lineRule="auto"/>
        <w:sectPr w:rsidR="00BB7B0C" w:rsidSect="00613D92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2A0205B" w14:textId="0AEDB06A" w:rsidR="0011291D" w:rsidRDefault="0011291D" w:rsidP="00BB7B0C">
      <w:pPr>
        <w:pStyle w:val="ListParagraph"/>
        <w:numPr>
          <w:ilvl w:val="0"/>
          <w:numId w:val="7"/>
        </w:numPr>
        <w:spacing w:after="0" w:line="240" w:lineRule="auto"/>
      </w:pPr>
      <w:r>
        <w:t>Funding announcement</w:t>
      </w:r>
    </w:p>
    <w:p w14:paraId="14ABEA6B" w14:textId="1EBBB9E6" w:rsidR="0011291D" w:rsidRDefault="0011291D" w:rsidP="00BB7B0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Sponsor </w:t>
      </w:r>
      <w:proofErr w:type="gramStart"/>
      <w:r>
        <w:t>guidelines</w:t>
      </w:r>
      <w:proofErr w:type="gramEnd"/>
    </w:p>
    <w:p w14:paraId="7AC1CCE3" w14:textId="40EDDA67" w:rsidR="0011291D" w:rsidRDefault="0011291D" w:rsidP="00BB7B0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Sponsor </w:t>
      </w:r>
      <w:r w:rsidR="001920DA">
        <w:t>d</w:t>
      </w:r>
      <w:r>
        <w:t xml:space="preserve">ue </w:t>
      </w:r>
      <w:proofErr w:type="gramStart"/>
      <w:r>
        <w:t>date</w:t>
      </w:r>
      <w:proofErr w:type="gramEnd"/>
    </w:p>
    <w:p w14:paraId="60E21B1C" w14:textId="2E968661" w:rsidR="0011291D" w:rsidRDefault="0011291D" w:rsidP="00BB7B0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List of costs needed </w:t>
      </w:r>
      <w:r w:rsidR="00BB7B0C">
        <w:t xml:space="preserve">for </w:t>
      </w:r>
      <w:r>
        <w:t>budget</w:t>
      </w:r>
      <w:r w:rsidR="00BB7B0C">
        <w:t xml:space="preserve"> </w:t>
      </w:r>
      <w:proofErr w:type="gramStart"/>
      <w:r w:rsidR="00BB7B0C">
        <w:t>draft</w:t>
      </w:r>
      <w:proofErr w:type="gramEnd"/>
    </w:p>
    <w:p w14:paraId="2B8A1B11" w14:textId="35AD3355" w:rsidR="0011291D" w:rsidRDefault="0011291D" w:rsidP="00BB7B0C">
      <w:pPr>
        <w:pStyle w:val="ListParagraph"/>
        <w:numPr>
          <w:ilvl w:val="0"/>
          <w:numId w:val="7"/>
        </w:numPr>
        <w:spacing w:after="0" w:line="240" w:lineRule="auto"/>
      </w:pPr>
      <w:r>
        <w:t>Project start and end date</w:t>
      </w:r>
    </w:p>
    <w:p w14:paraId="5130A3F2" w14:textId="4D84F7B3" w:rsidR="0011291D" w:rsidRDefault="0011291D" w:rsidP="00BB7B0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Estimated budget </w:t>
      </w:r>
      <w:proofErr w:type="gramStart"/>
      <w:r>
        <w:t>amount</w:t>
      </w:r>
      <w:proofErr w:type="gramEnd"/>
    </w:p>
    <w:p w14:paraId="2F6923BF" w14:textId="64BC5F58" w:rsidR="00BB7B0C" w:rsidRDefault="0011291D" w:rsidP="00394A37">
      <w:pPr>
        <w:pStyle w:val="ListParagraph"/>
        <w:numPr>
          <w:ilvl w:val="0"/>
          <w:numId w:val="7"/>
        </w:numPr>
        <w:spacing w:after="0" w:line="240" w:lineRule="auto"/>
      </w:pPr>
      <w:r>
        <w:t>Proposal title</w:t>
      </w:r>
      <w:r w:rsidR="001920DA">
        <w:t xml:space="preserve"> (if available</w:t>
      </w:r>
      <w:r w:rsidR="00613D92">
        <w:t xml:space="preserve">) </w:t>
      </w:r>
    </w:p>
    <w:p w14:paraId="2FDE2B76" w14:textId="51E92F93" w:rsidR="00613D92" w:rsidRDefault="00613D92" w:rsidP="00613D92">
      <w:pPr>
        <w:spacing w:after="0" w:line="240" w:lineRule="auto"/>
        <w:sectPr w:rsidR="00613D92" w:rsidSect="00613D9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E95D520" w14:textId="77777777" w:rsidR="00613D92" w:rsidRDefault="00613D92" w:rsidP="009143B2">
      <w:pPr>
        <w:pBdr>
          <w:bottom w:val="single" w:sz="12" w:space="1" w:color="auto"/>
        </w:pBd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28C058F1" w14:textId="649133CD" w:rsidR="009143B2" w:rsidRDefault="00394A37" w:rsidP="009143B2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9143B2">
        <w:rPr>
          <w:b/>
          <w:bCs/>
          <w:color w:val="4472C4" w:themeColor="accent1"/>
          <w:sz w:val="24"/>
          <w:szCs w:val="24"/>
        </w:rPr>
        <w:t>PERSONNEL (Salaries and Wages)</w:t>
      </w:r>
    </w:p>
    <w:p w14:paraId="020C2088" w14:textId="266FD8D3" w:rsidR="00394A37" w:rsidRPr="00705618" w:rsidRDefault="009143B2" w:rsidP="009143B2">
      <w:pPr>
        <w:spacing w:after="0" w:line="240" w:lineRule="auto"/>
      </w:pPr>
      <w:r w:rsidRPr="00705618">
        <w:t xml:space="preserve">List all the proposed </w:t>
      </w:r>
      <w:r w:rsidRPr="00402CF0">
        <w:rPr>
          <w:b/>
          <w:bCs/>
          <w:u w:val="single"/>
        </w:rPr>
        <w:t>UCLA personnel</w:t>
      </w:r>
      <w:r w:rsidRPr="00705618">
        <w:t xml:space="preserve"> </w:t>
      </w:r>
      <w:r w:rsidR="00705618" w:rsidRPr="00705618">
        <w:t xml:space="preserve">by name and title </w:t>
      </w:r>
      <w:r w:rsidRPr="00705618">
        <w:t xml:space="preserve">(or </w:t>
      </w:r>
      <w:r w:rsidR="00CD3DA5" w:rsidRPr="00705618">
        <w:t>“</w:t>
      </w:r>
      <w:r w:rsidRPr="00705618">
        <w:t>T</w:t>
      </w:r>
      <w:r w:rsidR="00CD3DA5" w:rsidRPr="00705618">
        <w:t>BD</w:t>
      </w:r>
      <w:r w:rsidRPr="00705618">
        <w:t xml:space="preserve">” for unfilled positions) that will be directly involved with the project. </w:t>
      </w:r>
      <w:r w:rsidR="000109AE" w:rsidRPr="00705618">
        <w:t xml:space="preserve">Provide </w:t>
      </w:r>
      <w:r w:rsidR="00705618">
        <w:t xml:space="preserve"># </w:t>
      </w:r>
      <w:r w:rsidRPr="00705618">
        <w:t xml:space="preserve">of months per year </w:t>
      </w:r>
      <w:r w:rsidR="00402CF0">
        <w:t>and</w:t>
      </w:r>
      <w:r w:rsidRPr="00705618">
        <w:t xml:space="preserve"> percentage of effort</w:t>
      </w:r>
      <w:r w:rsidR="00705618" w:rsidRPr="00705618">
        <w:t xml:space="preserve"> each p</w:t>
      </w:r>
      <w:r w:rsidR="003D1959">
        <w:t>osition</w:t>
      </w:r>
      <w:r w:rsidR="00705618" w:rsidRPr="00705618">
        <w:t xml:space="preserve"> will work.</w:t>
      </w:r>
      <w:r w:rsidR="00690D03">
        <w:t xml:space="preserve"> For multi-year projects, use the UCOP standard escalation rate of 3% each year after the first budget year.</w:t>
      </w:r>
    </w:p>
    <w:p w14:paraId="5FC33162" w14:textId="77777777" w:rsidR="009143B2" w:rsidRPr="00850ED4" w:rsidRDefault="009143B2" w:rsidP="009143B2">
      <w:pPr>
        <w:spacing w:after="0" w:line="240" w:lineRule="auto"/>
        <w:rPr>
          <w:sz w:val="16"/>
          <w:szCs w:val="16"/>
        </w:rPr>
      </w:pPr>
    </w:p>
    <w:p w14:paraId="0C6A0A06" w14:textId="0ECD3A8A" w:rsidR="00F350A3" w:rsidRDefault="00F350A3" w:rsidP="00F350A3">
      <w:pPr>
        <w:pStyle w:val="ListParagraph"/>
        <w:numPr>
          <w:ilvl w:val="0"/>
          <w:numId w:val="1"/>
        </w:numPr>
        <w:spacing w:after="0" w:line="240" w:lineRule="auto"/>
      </w:pPr>
      <w:r>
        <w:t>Senior</w:t>
      </w:r>
      <w:r w:rsidR="00DA5B00">
        <w:t>/Key</w:t>
      </w:r>
      <w:r>
        <w:t xml:space="preserve"> Personnel</w:t>
      </w:r>
      <w:r w:rsidR="00DA5B00">
        <w:t xml:space="preserve"> – “non-replaceable” expertise on project</w:t>
      </w:r>
      <w:r w:rsidR="00987ECD">
        <w:t>. Replacement of senior/key personnel requires written approval from the sponsor.</w:t>
      </w:r>
    </w:p>
    <w:p w14:paraId="354CEBF3" w14:textId="77777777" w:rsidR="00CD3DA5" w:rsidRDefault="00CD3DA5" w:rsidP="00F350A3">
      <w:pPr>
        <w:pStyle w:val="ListParagraph"/>
        <w:numPr>
          <w:ilvl w:val="0"/>
          <w:numId w:val="2"/>
        </w:numPr>
        <w:spacing w:after="0" w:line="240" w:lineRule="auto"/>
        <w:sectPr w:rsidR="00CD3DA5" w:rsidSect="00613D9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E1283D1" w14:textId="385ACE40" w:rsidR="00F350A3" w:rsidRDefault="00F350A3" w:rsidP="000109AE">
      <w:pPr>
        <w:pStyle w:val="ListParagraph"/>
        <w:numPr>
          <w:ilvl w:val="0"/>
          <w:numId w:val="9"/>
        </w:numPr>
        <w:spacing w:after="0" w:line="240" w:lineRule="auto"/>
      </w:pPr>
      <w:r>
        <w:t>Principal Investigator(s)</w:t>
      </w:r>
    </w:p>
    <w:p w14:paraId="28DF8D8E" w14:textId="34C3FE31" w:rsidR="00F350A3" w:rsidRDefault="00F350A3" w:rsidP="000109AE">
      <w:pPr>
        <w:pStyle w:val="ListParagraph"/>
        <w:numPr>
          <w:ilvl w:val="0"/>
          <w:numId w:val="9"/>
        </w:numPr>
        <w:spacing w:after="0" w:line="240" w:lineRule="auto"/>
      </w:pPr>
      <w:r>
        <w:t>Co-Investigators</w:t>
      </w:r>
    </w:p>
    <w:p w14:paraId="12D16867" w14:textId="69C794E3" w:rsidR="00F350A3" w:rsidRDefault="00F350A3" w:rsidP="000109AE">
      <w:pPr>
        <w:pStyle w:val="ListParagraph"/>
        <w:numPr>
          <w:ilvl w:val="0"/>
          <w:numId w:val="9"/>
        </w:numPr>
        <w:spacing w:after="0" w:line="240" w:lineRule="auto"/>
      </w:pPr>
      <w:r>
        <w:t>Project Director</w:t>
      </w:r>
    </w:p>
    <w:p w14:paraId="58225AC9" w14:textId="3E698122" w:rsidR="00B8183A" w:rsidRDefault="00F350A3" w:rsidP="000109AE">
      <w:pPr>
        <w:pStyle w:val="ListParagraph"/>
        <w:numPr>
          <w:ilvl w:val="0"/>
          <w:numId w:val="9"/>
        </w:numPr>
        <w:spacing w:after="0" w:line="240" w:lineRule="auto"/>
      </w:pPr>
      <w:r>
        <w:t>Faculty/Other Senior Associates</w:t>
      </w:r>
    </w:p>
    <w:p w14:paraId="6304A164" w14:textId="77777777" w:rsidR="00CD3DA5" w:rsidRDefault="00CD3DA5" w:rsidP="000109AE">
      <w:pPr>
        <w:pStyle w:val="ListParagraph"/>
        <w:numPr>
          <w:ilvl w:val="0"/>
          <w:numId w:val="9"/>
        </w:numPr>
        <w:spacing w:after="0" w:line="240" w:lineRule="auto"/>
        <w:sectPr w:rsidR="00CD3DA5" w:rsidSect="00613D9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E55D4D2" w14:textId="532A8F7F" w:rsidR="000109AE" w:rsidRDefault="00F350A3" w:rsidP="00987ECD">
      <w:pPr>
        <w:pStyle w:val="ListParagraph"/>
        <w:numPr>
          <w:ilvl w:val="0"/>
          <w:numId w:val="1"/>
        </w:numPr>
        <w:spacing w:after="0" w:line="240" w:lineRule="auto"/>
        <w:sectPr w:rsidR="000109AE" w:rsidSect="00613D9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Other Personnel</w:t>
      </w:r>
      <w:r w:rsidR="00DA5B00">
        <w:t xml:space="preserve"> – administrative and clerical positions</w:t>
      </w:r>
      <w:r w:rsidR="00987ECD">
        <w:t>. Replacement does not require sponsor approval.</w:t>
      </w:r>
    </w:p>
    <w:p w14:paraId="18CD6FC6" w14:textId="1B585DE9" w:rsidR="00F350A3" w:rsidRDefault="00F350A3" w:rsidP="000109A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Postdoctoral </w:t>
      </w:r>
      <w:r w:rsidR="004F038C">
        <w:t>associates</w:t>
      </w:r>
    </w:p>
    <w:p w14:paraId="25014041" w14:textId="1B8AE69D" w:rsidR="004F038C" w:rsidRDefault="004F038C" w:rsidP="000109AE">
      <w:pPr>
        <w:pStyle w:val="ListParagraph"/>
        <w:numPr>
          <w:ilvl w:val="0"/>
          <w:numId w:val="10"/>
        </w:numPr>
        <w:spacing w:after="0" w:line="240" w:lineRule="auto"/>
      </w:pPr>
      <w:r>
        <w:t>Other professionals (technician, programmers, etc.)</w:t>
      </w:r>
    </w:p>
    <w:p w14:paraId="7A8A09F9" w14:textId="33B077DD" w:rsidR="00F350A3" w:rsidRDefault="004F038C" w:rsidP="000109AE">
      <w:pPr>
        <w:pStyle w:val="ListParagraph"/>
        <w:numPr>
          <w:ilvl w:val="0"/>
          <w:numId w:val="10"/>
        </w:numPr>
        <w:spacing w:after="0" w:line="240" w:lineRule="auto"/>
      </w:pPr>
      <w:r>
        <w:t>Graduate an</w:t>
      </w:r>
      <w:r w:rsidR="000109AE">
        <w:t xml:space="preserve">d </w:t>
      </w:r>
      <w:r>
        <w:t xml:space="preserve">Undergraduate </w:t>
      </w:r>
      <w:r w:rsidR="00402CF0">
        <w:t>student employees</w:t>
      </w:r>
    </w:p>
    <w:p w14:paraId="0DD247D2" w14:textId="77777777" w:rsidR="000109AE" w:rsidRDefault="000109AE" w:rsidP="000109AE">
      <w:pPr>
        <w:pStyle w:val="ListParagraph"/>
        <w:numPr>
          <w:ilvl w:val="0"/>
          <w:numId w:val="10"/>
        </w:numPr>
        <w:spacing w:after="0" w:line="240" w:lineRule="auto"/>
        <w:sectPr w:rsidR="000109AE" w:rsidSect="00613D9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53BD76F" w14:textId="77777777" w:rsidR="000109AE" w:rsidRDefault="000109AE" w:rsidP="00394A37">
      <w:pPr>
        <w:pBdr>
          <w:bottom w:val="single" w:sz="12" w:space="1" w:color="auto"/>
        </w:pBdr>
        <w:spacing w:after="0" w:line="240" w:lineRule="auto"/>
      </w:pPr>
    </w:p>
    <w:p w14:paraId="1D922A3D" w14:textId="311D1A6D" w:rsidR="00394A37" w:rsidRDefault="00394A37" w:rsidP="00394A37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FRINGE BENEFITS</w:t>
      </w:r>
    </w:p>
    <w:p w14:paraId="0B754E4A" w14:textId="31E73EFE" w:rsidR="00850ED4" w:rsidRDefault="00850ED4" w:rsidP="00394A37">
      <w:pPr>
        <w:spacing w:after="0" w:line="240" w:lineRule="auto"/>
      </w:pPr>
      <w:r>
        <w:t xml:space="preserve">Your fund manager will use UCLA’s standard </w:t>
      </w:r>
      <w:hyperlink r:id="rId11" w:history="1">
        <w:r w:rsidRPr="00850ED4">
          <w:rPr>
            <w:rStyle w:val="Hyperlink"/>
          </w:rPr>
          <w:t>Composite Benefit Rates</w:t>
        </w:r>
      </w:hyperlink>
      <w:r>
        <w:t xml:space="preserve"> (CBR) to calculate fringe benefits.</w:t>
      </w:r>
    </w:p>
    <w:p w14:paraId="6B35C7FD" w14:textId="77777777" w:rsidR="00850ED4" w:rsidRPr="00850ED4" w:rsidRDefault="00850ED4" w:rsidP="00394A37">
      <w:pPr>
        <w:spacing w:after="0" w:line="240" w:lineRule="auto"/>
        <w:rPr>
          <w:sz w:val="16"/>
          <w:szCs w:val="16"/>
        </w:rPr>
      </w:pPr>
    </w:p>
    <w:p w14:paraId="3B4DA68B" w14:textId="631BC662" w:rsidR="00402CF0" w:rsidRDefault="00402CF0" w:rsidP="00402CF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Total fringe benefit cost per personnel = </w:t>
      </w:r>
      <w:r w:rsidR="00850ED4">
        <w:t xml:space="preserve">Projected salary per personnel multiplied by appropriate UCLA composite benefit rate </w:t>
      </w:r>
    </w:p>
    <w:p w14:paraId="13B8F2A0" w14:textId="77777777" w:rsidR="00850ED4" w:rsidRDefault="00850ED4" w:rsidP="003D1295">
      <w:pPr>
        <w:pBdr>
          <w:bottom w:val="single" w:sz="12" w:space="1" w:color="auto"/>
        </w:pBdr>
        <w:spacing w:after="0" w:line="240" w:lineRule="auto"/>
      </w:pPr>
    </w:p>
    <w:p w14:paraId="53346242" w14:textId="3CC1F62E" w:rsidR="00B8183A" w:rsidRDefault="00B8183A" w:rsidP="00B8183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EQUIPMENT</w:t>
      </w:r>
    </w:p>
    <w:p w14:paraId="420266B7" w14:textId="1929D72D" w:rsidR="00402CF0" w:rsidRDefault="00E03614" w:rsidP="00E03614">
      <w:pPr>
        <w:spacing w:after="0" w:line="240" w:lineRule="auto"/>
      </w:pPr>
      <w:r>
        <w:t>List</w:t>
      </w:r>
      <w:r w:rsidR="00751152">
        <w:t xml:space="preserve"> project specific </w:t>
      </w:r>
      <w:r>
        <w:t>inventorial equipment to be purchased with cost of $</w:t>
      </w:r>
      <w:r w:rsidR="005422D1">
        <w:t>10</w:t>
      </w:r>
      <w:r>
        <w:t>k or more</w:t>
      </w:r>
      <w:r w:rsidR="00A647CF">
        <w:t xml:space="preserve"> per unit</w:t>
      </w:r>
      <w:r>
        <w:t xml:space="preserve">. </w:t>
      </w:r>
      <w:r w:rsidR="00A37035">
        <w:t xml:space="preserve">Be sure to estimate costs associated with obtaining the </w:t>
      </w:r>
      <w:r w:rsidR="00402CF0">
        <w:t>equipment</w:t>
      </w:r>
      <w:r w:rsidR="00A37035">
        <w:t>, includ</w:t>
      </w:r>
      <w:r w:rsidR="00402CF0">
        <w:t>ing</w:t>
      </w:r>
      <w:r w:rsidR="00A37035">
        <w:t xml:space="preserve"> shipping, handling and delivery charges. </w:t>
      </w:r>
    </w:p>
    <w:p w14:paraId="4D0C3E61" w14:textId="712B470E" w:rsidR="00E03614" w:rsidRPr="00E03614" w:rsidRDefault="00402CF0" w:rsidP="00E03614">
      <w:pPr>
        <w:spacing w:after="0" w:line="240" w:lineRule="auto"/>
        <w:rPr>
          <w:i/>
          <w:iCs/>
        </w:rPr>
      </w:pPr>
      <w:r>
        <w:t>*</w:t>
      </w:r>
      <w:r w:rsidR="00E03614" w:rsidRPr="00A37035">
        <w:rPr>
          <w:i/>
          <w:iCs/>
        </w:rPr>
        <w:t>Expendable items</w:t>
      </w:r>
      <w:r w:rsidR="00E03614" w:rsidRPr="00E03614">
        <w:t xml:space="preserve"> should be included in</w:t>
      </w:r>
      <w:r w:rsidR="00E03614" w:rsidRPr="00E03614">
        <w:rPr>
          <w:i/>
          <w:iCs/>
        </w:rPr>
        <w:t xml:space="preserve"> </w:t>
      </w:r>
      <w:r w:rsidR="00E03614">
        <w:rPr>
          <w:i/>
          <w:iCs/>
        </w:rPr>
        <w:t xml:space="preserve">Materials and </w:t>
      </w:r>
      <w:r w:rsidR="00E03614" w:rsidRPr="00E03614">
        <w:rPr>
          <w:i/>
          <w:iCs/>
        </w:rPr>
        <w:t xml:space="preserve">Supplies </w:t>
      </w:r>
      <w:r w:rsidR="00E03614" w:rsidRPr="00E03614">
        <w:t>or</w:t>
      </w:r>
      <w:r w:rsidR="00E03614" w:rsidRPr="00E03614">
        <w:rPr>
          <w:i/>
          <w:iCs/>
        </w:rPr>
        <w:t xml:space="preserve"> Other Direct Costs.</w:t>
      </w:r>
    </w:p>
    <w:p w14:paraId="60EDC1F9" w14:textId="69C1F4B0" w:rsidR="00E03614" w:rsidRDefault="00E03614" w:rsidP="00B8183A">
      <w:pPr>
        <w:spacing w:after="0" w:line="240" w:lineRule="auto"/>
      </w:pPr>
    </w:p>
    <w:p w14:paraId="6D60B698" w14:textId="3E1AF178" w:rsidR="00E03614" w:rsidRPr="000109AE" w:rsidRDefault="00E03614" w:rsidP="00B8183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t xml:space="preserve">Inventorial equipment </w:t>
      </w:r>
      <w:r w:rsidR="00402CF0">
        <w:t xml:space="preserve">is </w:t>
      </w:r>
      <w:r>
        <w:t>owned by or in custody of UCLA</w:t>
      </w:r>
      <w:r w:rsidR="00402CF0">
        <w:t xml:space="preserve"> with</w:t>
      </w:r>
      <w:r>
        <w:t xml:space="preserve">: </w:t>
      </w:r>
    </w:p>
    <w:p w14:paraId="1BAA6469" w14:textId="3BFDD543" w:rsidR="00B8183A" w:rsidRDefault="00E03614" w:rsidP="00E03614">
      <w:pPr>
        <w:pStyle w:val="ListParagraph"/>
        <w:numPr>
          <w:ilvl w:val="0"/>
          <w:numId w:val="11"/>
        </w:numPr>
        <w:spacing w:after="0" w:line="240" w:lineRule="auto"/>
      </w:pPr>
      <w:r>
        <w:t>Acquisition</w:t>
      </w:r>
      <w:r w:rsidR="00B8183A">
        <w:t xml:space="preserve"> cost</w:t>
      </w:r>
      <w:r>
        <w:t xml:space="preserve"> of</w:t>
      </w:r>
      <w:r w:rsidR="00B8183A">
        <w:t xml:space="preserve"> $</w:t>
      </w:r>
      <w:r w:rsidR="005422D1">
        <w:t>10</w:t>
      </w:r>
      <w:r w:rsidR="00B8183A">
        <w:t>k or more per unit</w:t>
      </w:r>
    </w:p>
    <w:p w14:paraId="7AF76CCB" w14:textId="5F3EA7A1" w:rsidR="00E03614" w:rsidRDefault="00E03614" w:rsidP="00E0361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Not disposable or consumable </w:t>
      </w:r>
    </w:p>
    <w:p w14:paraId="18C6E62E" w14:textId="53464A30" w:rsidR="00E03614" w:rsidRDefault="00E03614" w:rsidP="00E03614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Stand alone</w:t>
      </w:r>
      <w:proofErr w:type="spellEnd"/>
      <w:r>
        <w:t xml:space="preserve"> (not built into a wall)</w:t>
      </w:r>
    </w:p>
    <w:p w14:paraId="6BBEC154" w14:textId="746DAE0E" w:rsidR="00E03614" w:rsidRDefault="00E03614" w:rsidP="00E03614">
      <w:pPr>
        <w:pStyle w:val="ListParagraph"/>
        <w:numPr>
          <w:ilvl w:val="0"/>
          <w:numId w:val="11"/>
        </w:numPr>
        <w:spacing w:after="0" w:line="240" w:lineRule="auto"/>
      </w:pPr>
      <w:r>
        <w:t>Qualify as tangible personal property (can be appraised for value)</w:t>
      </w:r>
    </w:p>
    <w:p w14:paraId="02069FFD" w14:textId="77777777" w:rsidR="00B8183A" w:rsidRDefault="00B8183A" w:rsidP="003D1295">
      <w:pPr>
        <w:pBdr>
          <w:bottom w:val="single" w:sz="12" w:space="1" w:color="auto"/>
        </w:pBdr>
        <w:spacing w:after="0" w:line="240" w:lineRule="auto"/>
      </w:pPr>
    </w:p>
    <w:p w14:paraId="0E0AF1D4" w14:textId="77777777" w:rsidR="000A4F53" w:rsidRDefault="000A4F53" w:rsidP="003D1295">
      <w:pPr>
        <w:pBdr>
          <w:bottom w:val="single" w:sz="12" w:space="1" w:color="auto"/>
        </w:pBdr>
        <w:spacing w:after="0" w:line="240" w:lineRule="auto"/>
      </w:pPr>
    </w:p>
    <w:p w14:paraId="7DA9E3CC" w14:textId="77777777" w:rsidR="000A4F53" w:rsidRDefault="000A4F53" w:rsidP="003D1295">
      <w:pPr>
        <w:pBdr>
          <w:bottom w:val="single" w:sz="12" w:space="1" w:color="auto"/>
        </w:pBdr>
        <w:spacing w:after="0" w:line="240" w:lineRule="auto"/>
      </w:pPr>
    </w:p>
    <w:p w14:paraId="7733805C" w14:textId="4FA57B14" w:rsidR="00394A37" w:rsidRDefault="00394A37" w:rsidP="003D1295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TRAVEL</w:t>
      </w:r>
    </w:p>
    <w:p w14:paraId="694469E6" w14:textId="33EA6A26" w:rsidR="00E03614" w:rsidRDefault="00E03614" w:rsidP="00E03614">
      <w:pPr>
        <w:spacing w:after="0" w:line="240" w:lineRule="auto"/>
      </w:pPr>
      <w:r>
        <w:t xml:space="preserve">Domestic travel and foreign travel </w:t>
      </w:r>
      <w:r w:rsidRPr="00E03614">
        <w:rPr>
          <w:u w:val="single"/>
        </w:rPr>
        <w:t>should be budgeted separately</w:t>
      </w:r>
      <w:r>
        <w:t>.</w:t>
      </w:r>
      <w:r w:rsidRPr="002D4590">
        <w:t xml:space="preserve"> </w:t>
      </w:r>
      <w:r w:rsidR="003706FD" w:rsidRPr="002D4590">
        <w:t>Please review sponsor guidelines to confirm allowable travel costs</w:t>
      </w:r>
      <w:r w:rsidR="003706FD">
        <w:t>.</w:t>
      </w:r>
    </w:p>
    <w:p w14:paraId="1F1A945D" w14:textId="77777777" w:rsidR="00E03614" w:rsidRPr="002C5F5A" w:rsidRDefault="00E03614" w:rsidP="00E03614">
      <w:pPr>
        <w:spacing w:after="0" w:line="240" w:lineRule="auto"/>
        <w:rPr>
          <w:sz w:val="18"/>
          <w:szCs w:val="18"/>
        </w:rPr>
      </w:pPr>
      <w:r w:rsidRPr="002C5F5A">
        <w:rPr>
          <w:sz w:val="18"/>
          <w:szCs w:val="18"/>
        </w:rPr>
        <w:t xml:space="preserve">* Foreign travel is defined as any travel outside of the continental United States (CONUS). </w:t>
      </w:r>
    </w:p>
    <w:p w14:paraId="3EB76938" w14:textId="6200C584" w:rsidR="00E03614" w:rsidRPr="002C5F5A" w:rsidRDefault="00E03614" w:rsidP="00E03614">
      <w:pPr>
        <w:spacing w:after="0" w:line="240" w:lineRule="auto"/>
        <w:rPr>
          <w:b/>
          <w:bCs/>
          <w:color w:val="2E74B5" w:themeColor="accent5" w:themeShade="BF"/>
          <w:sz w:val="18"/>
          <w:szCs w:val="18"/>
        </w:rPr>
      </w:pPr>
      <w:r w:rsidRPr="002C5F5A">
        <w:rPr>
          <w:sz w:val="18"/>
          <w:szCs w:val="18"/>
        </w:rPr>
        <w:t xml:space="preserve">**Hawaii, Alaska and U.S. possessions are subject to foreign per diem rates established by the </w:t>
      </w:r>
      <w:hyperlink r:id="rId12" w:history="1">
        <w:r w:rsidRPr="002C5F5A">
          <w:rPr>
            <w:rStyle w:val="Hyperlink"/>
            <w:sz w:val="18"/>
            <w:szCs w:val="18"/>
          </w:rPr>
          <w:t>Department of Defense</w:t>
        </w:r>
      </w:hyperlink>
      <w:r w:rsidRPr="002C5F5A">
        <w:rPr>
          <w:sz w:val="18"/>
          <w:szCs w:val="18"/>
        </w:rPr>
        <w:t xml:space="preserve">. </w:t>
      </w:r>
    </w:p>
    <w:p w14:paraId="690E669C" w14:textId="393F66F6" w:rsidR="00E03614" w:rsidRDefault="00E03614" w:rsidP="003D1295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08D93963" w14:textId="67F9F043" w:rsidR="00B73D3A" w:rsidRDefault="00B73D3A" w:rsidP="003D1295">
      <w:pPr>
        <w:spacing w:after="0" w:line="240" w:lineRule="auto"/>
      </w:pPr>
      <w:r>
        <w:t xml:space="preserve">For each project-related trip, </w:t>
      </w:r>
      <w:r w:rsidR="00402CF0">
        <w:t>outline</w:t>
      </w:r>
      <w:r>
        <w:t>:</w:t>
      </w:r>
    </w:p>
    <w:p w14:paraId="403280B5" w14:textId="77777777" w:rsidR="002534BF" w:rsidRDefault="002534BF" w:rsidP="00B73D3A">
      <w:pPr>
        <w:pStyle w:val="ListParagraph"/>
        <w:numPr>
          <w:ilvl w:val="0"/>
          <w:numId w:val="13"/>
        </w:numPr>
        <w:spacing w:after="0" w:line="240" w:lineRule="auto"/>
        <w:sectPr w:rsidR="002534BF" w:rsidSect="00613D9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D82EBE6" w14:textId="12E444DE" w:rsidR="00B73D3A" w:rsidRDefault="00B73D3A" w:rsidP="002534BF">
      <w:pPr>
        <w:pStyle w:val="ListParagraph"/>
        <w:numPr>
          <w:ilvl w:val="0"/>
          <w:numId w:val="14"/>
        </w:numPr>
        <w:spacing w:after="0" w:line="240" w:lineRule="auto"/>
      </w:pPr>
      <w:r w:rsidRPr="00B73D3A">
        <w:t>Purpose</w:t>
      </w:r>
      <w:r>
        <w:t xml:space="preserve"> and destination (if known)</w:t>
      </w:r>
    </w:p>
    <w:p w14:paraId="65DC8F77" w14:textId="1C91B172" w:rsidR="00B73D3A" w:rsidRDefault="00B73D3A" w:rsidP="002534BF">
      <w:pPr>
        <w:pStyle w:val="ListParagraph"/>
        <w:numPr>
          <w:ilvl w:val="0"/>
          <w:numId w:val="14"/>
        </w:numPr>
        <w:spacing w:after="0" w:line="240" w:lineRule="auto"/>
      </w:pPr>
      <w:r>
        <w:t>Number of project staff traveling</w:t>
      </w:r>
    </w:p>
    <w:p w14:paraId="52C6EA83" w14:textId="0BB3176B" w:rsidR="00B73D3A" w:rsidRDefault="00B73D3A" w:rsidP="002534BF">
      <w:pPr>
        <w:pStyle w:val="ListParagraph"/>
        <w:numPr>
          <w:ilvl w:val="0"/>
          <w:numId w:val="14"/>
        </w:numPr>
        <w:spacing w:after="0" w:line="240" w:lineRule="auto"/>
      </w:pPr>
      <w:r>
        <w:t>Number of travel days</w:t>
      </w:r>
    </w:p>
    <w:p w14:paraId="471C193F" w14:textId="4499D18B" w:rsidR="00B73D3A" w:rsidRDefault="00B73D3A" w:rsidP="002534BF">
      <w:pPr>
        <w:pStyle w:val="ListParagraph"/>
        <w:numPr>
          <w:ilvl w:val="0"/>
          <w:numId w:val="14"/>
        </w:numPr>
        <w:spacing w:after="0" w:line="240" w:lineRule="auto"/>
      </w:pPr>
      <w:r>
        <w:t>Per diem rates for foreign travel</w:t>
      </w:r>
    </w:p>
    <w:p w14:paraId="060D63EC" w14:textId="77777777" w:rsidR="00B73D3A" w:rsidRDefault="00B73D3A" w:rsidP="002534B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Type and cost of </w:t>
      </w:r>
      <w:proofErr w:type="gramStart"/>
      <w:r>
        <w:t>transportation</w:t>
      </w:r>
      <w:proofErr w:type="gramEnd"/>
    </w:p>
    <w:p w14:paraId="6C808847" w14:textId="77777777" w:rsidR="002534BF" w:rsidRDefault="002534BF" w:rsidP="002534BF">
      <w:pPr>
        <w:spacing w:after="0" w:line="240" w:lineRule="auto"/>
        <w:sectPr w:rsidR="002534BF" w:rsidSect="00613D9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2BB21C3" w14:textId="77777777" w:rsidR="002C5F5A" w:rsidRDefault="002C5F5A" w:rsidP="002534BF">
      <w:pPr>
        <w:spacing w:after="0" w:line="240" w:lineRule="auto"/>
      </w:pPr>
    </w:p>
    <w:p w14:paraId="7F84E17E" w14:textId="7EC22D62" w:rsidR="002C5F5A" w:rsidRDefault="002534BF" w:rsidP="002C5F5A">
      <w:pPr>
        <w:spacing w:after="0" w:line="240" w:lineRule="auto"/>
      </w:pPr>
      <w:r>
        <w:t xml:space="preserve">General </w:t>
      </w:r>
      <w:r w:rsidR="004C515B">
        <w:t>budgeted</w:t>
      </w:r>
      <w:r>
        <w:t xml:space="preserve"> travel costs</w:t>
      </w:r>
      <w:r w:rsidR="004C515B">
        <w:t xml:space="preserve">: </w:t>
      </w:r>
    </w:p>
    <w:p w14:paraId="421C7E8D" w14:textId="18A3E182" w:rsidR="002534BF" w:rsidRPr="002C5F5A" w:rsidRDefault="002534BF" w:rsidP="002C5F5A">
      <w:pPr>
        <w:spacing w:after="0" w:line="240" w:lineRule="auto"/>
        <w:rPr>
          <w:sz w:val="16"/>
          <w:szCs w:val="16"/>
        </w:rPr>
        <w:sectPr w:rsidR="002534BF" w:rsidRPr="002C5F5A" w:rsidSect="00613D9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66E77BA" w14:textId="77777777" w:rsidR="00B73D3A" w:rsidRDefault="003D1295" w:rsidP="002C5F5A">
      <w:pPr>
        <w:pStyle w:val="ListParagraph"/>
        <w:numPr>
          <w:ilvl w:val="0"/>
          <w:numId w:val="15"/>
        </w:numPr>
        <w:spacing w:after="0" w:line="240" w:lineRule="auto"/>
      </w:pPr>
      <w:r>
        <w:t>Lodging</w:t>
      </w:r>
    </w:p>
    <w:p w14:paraId="7100DD1F" w14:textId="36BCAB71" w:rsidR="00B73D3A" w:rsidRDefault="003D1295" w:rsidP="002C5F5A">
      <w:pPr>
        <w:pStyle w:val="ListParagraph"/>
        <w:numPr>
          <w:ilvl w:val="0"/>
          <w:numId w:val="15"/>
        </w:numPr>
        <w:spacing w:after="0" w:line="240" w:lineRule="auto"/>
      </w:pPr>
      <w:r>
        <w:t>Meals &amp; I.E.</w:t>
      </w:r>
      <w:r w:rsidR="00B73D3A">
        <w:t xml:space="preserve"> for domestic travel</w:t>
      </w:r>
    </w:p>
    <w:p w14:paraId="7CF67980" w14:textId="77777777" w:rsidR="00B73D3A" w:rsidRDefault="00B73D3A" w:rsidP="002C5F5A">
      <w:pPr>
        <w:pStyle w:val="ListParagraph"/>
        <w:numPr>
          <w:ilvl w:val="0"/>
          <w:numId w:val="15"/>
        </w:numPr>
        <w:spacing w:after="0" w:line="240" w:lineRule="auto"/>
      </w:pPr>
      <w:r>
        <w:t>Per Diem for foreign travel</w:t>
      </w:r>
    </w:p>
    <w:p w14:paraId="6244BAC3" w14:textId="77777777" w:rsidR="00B73D3A" w:rsidRDefault="003D1295" w:rsidP="002C5F5A">
      <w:pPr>
        <w:pStyle w:val="ListParagraph"/>
        <w:numPr>
          <w:ilvl w:val="0"/>
          <w:numId w:val="15"/>
        </w:numPr>
        <w:spacing w:after="0" w:line="240" w:lineRule="auto"/>
      </w:pPr>
      <w:r>
        <w:t>Transportation (airfare, rental car, taxi, parking, gas etc.)</w:t>
      </w:r>
    </w:p>
    <w:p w14:paraId="02D8A4D1" w14:textId="1D3F8D0C" w:rsidR="00B73D3A" w:rsidRDefault="003D1295" w:rsidP="002C5F5A">
      <w:pPr>
        <w:pStyle w:val="ListParagraph"/>
        <w:numPr>
          <w:ilvl w:val="0"/>
          <w:numId w:val="15"/>
        </w:numPr>
        <w:spacing w:after="0" w:line="240" w:lineRule="auto"/>
      </w:pPr>
      <w:r>
        <w:t>Personal car mileage (when personal car is use</w:t>
      </w:r>
      <w:r w:rsidR="00B73D3A">
        <w:t>d only)</w:t>
      </w:r>
    </w:p>
    <w:p w14:paraId="5CB4476C" w14:textId="43A74396" w:rsidR="003D1295" w:rsidRPr="00B73D3A" w:rsidRDefault="003D1295" w:rsidP="002C5F5A">
      <w:pPr>
        <w:pStyle w:val="ListParagraph"/>
        <w:numPr>
          <w:ilvl w:val="0"/>
          <w:numId w:val="15"/>
        </w:numPr>
        <w:spacing w:after="0" w:line="240" w:lineRule="auto"/>
      </w:pPr>
      <w:r>
        <w:t>Conference registration fees</w:t>
      </w:r>
    </w:p>
    <w:p w14:paraId="5A2FB931" w14:textId="77777777" w:rsidR="002534BF" w:rsidRDefault="002534BF" w:rsidP="00B8183A">
      <w:pPr>
        <w:spacing w:after="0" w:line="240" w:lineRule="auto"/>
        <w:sectPr w:rsidR="002534BF" w:rsidSect="00613D9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D56241D" w14:textId="77777777" w:rsidR="003D1295" w:rsidRDefault="003D1295" w:rsidP="00B8183A">
      <w:pPr>
        <w:pBdr>
          <w:bottom w:val="single" w:sz="12" w:space="1" w:color="auto"/>
        </w:pBdr>
        <w:spacing w:after="0" w:line="240" w:lineRule="auto"/>
      </w:pPr>
    </w:p>
    <w:p w14:paraId="4574DD93" w14:textId="373C7F6C" w:rsidR="00B8183A" w:rsidRDefault="00B8183A" w:rsidP="00B8183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PARTICIPANT SUPPORT COSTS</w:t>
      </w:r>
    </w:p>
    <w:p w14:paraId="18C5906B" w14:textId="2C2E1303" w:rsidR="00A86678" w:rsidRDefault="00A86678" w:rsidP="00B8183A">
      <w:pPr>
        <w:spacing w:after="0" w:line="240" w:lineRule="auto"/>
      </w:pPr>
      <w:r>
        <w:t xml:space="preserve">If </w:t>
      </w:r>
      <w:r w:rsidR="00173604">
        <w:t>allowed</w:t>
      </w:r>
      <w:r>
        <w:t xml:space="preserve"> by sponsor</w:t>
      </w:r>
      <w:r w:rsidR="00173604">
        <w:t xml:space="preserve"> guidelines</w:t>
      </w:r>
      <w:r>
        <w:t xml:space="preserve">, this </w:t>
      </w:r>
      <w:r w:rsidR="002D4590">
        <w:t xml:space="preserve">budget </w:t>
      </w:r>
      <w:r>
        <w:t>category can be used for training projects, conferences and workshops. Please consult with your assigned fund manager regarding restrictions for this budget category.</w:t>
      </w:r>
    </w:p>
    <w:p w14:paraId="7A221E7F" w14:textId="77777777" w:rsidR="00A86678" w:rsidRDefault="00A86678" w:rsidP="00B8183A">
      <w:pPr>
        <w:spacing w:after="0" w:line="240" w:lineRule="auto"/>
      </w:pPr>
    </w:p>
    <w:p w14:paraId="490E954F" w14:textId="17B2DB4B" w:rsidR="00A86678" w:rsidRPr="00A86678" w:rsidRDefault="00576E84" w:rsidP="00B8183A">
      <w:pPr>
        <w:spacing w:after="0" w:line="240" w:lineRule="auto"/>
      </w:pPr>
      <w:r>
        <w:t>List number of participants and cost for each expense type:</w:t>
      </w:r>
    </w:p>
    <w:p w14:paraId="109EDEBE" w14:textId="77777777" w:rsidR="00576E84" w:rsidRDefault="00576E84" w:rsidP="00576E84">
      <w:pPr>
        <w:pStyle w:val="ListParagraph"/>
        <w:numPr>
          <w:ilvl w:val="0"/>
          <w:numId w:val="16"/>
        </w:numPr>
        <w:spacing w:after="0" w:line="240" w:lineRule="auto"/>
        <w:sectPr w:rsidR="00576E84" w:rsidSect="00613D9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F65363B" w14:textId="77777777" w:rsidR="00B8183A" w:rsidRDefault="00B8183A" w:rsidP="00576E84">
      <w:pPr>
        <w:pStyle w:val="ListParagraph"/>
        <w:numPr>
          <w:ilvl w:val="0"/>
          <w:numId w:val="16"/>
        </w:numPr>
        <w:spacing w:after="0" w:line="240" w:lineRule="auto"/>
      </w:pPr>
      <w:r>
        <w:t>Stipends</w:t>
      </w:r>
    </w:p>
    <w:p w14:paraId="58DE4980" w14:textId="77777777" w:rsidR="00B8183A" w:rsidRDefault="00B8183A" w:rsidP="00576E84">
      <w:pPr>
        <w:pStyle w:val="ListParagraph"/>
        <w:numPr>
          <w:ilvl w:val="0"/>
          <w:numId w:val="16"/>
        </w:numPr>
        <w:spacing w:after="0" w:line="240" w:lineRule="auto"/>
      </w:pPr>
      <w:r>
        <w:t>Travel</w:t>
      </w:r>
    </w:p>
    <w:p w14:paraId="62B6AC0F" w14:textId="77777777" w:rsidR="00B8183A" w:rsidRDefault="00B8183A" w:rsidP="00576E84">
      <w:pPr>
        <w:pStyle w:val="ListParagraph"/>
        <w:numPr>
          <w:ilvl w:val="0"/>
          <w:numId w:val="16"/>
        </w:numPr>
        <w:spacing w:after="0" w:line="240" w:lineRule="auto"/>
      </w:pPr>
      <w:r>
        <w:t>Subsistence</w:t>
      </w:r>
    </w:p>
    <w:p w14:paraId="14F39F42" w14:textId="547EC498" w:rsidR="00B8183A" w:rsidRPr="005628AB" w:rsidRDefault="00B8183A" w:rsidP="00576E84">
      <w:pPr>
        <w:pStyle w:val="ListParagraph"/>
        <w:numPr>
          <w:ilvl w:val="0"/>
          <w:numId w:val="16"/>
        </w:numPr>
        <w:spacing w:after="0" w:line="240" w:lineRule="auto"/>
      </w:pPr>
      <w:r w:rsidRPr="005628AB">
        <w:t>Other</w:t>
      </w:r>
    </w:p>
    <w:p w14:paraId="39D3D13A" w14:textId="77777777" w:rsidR="00576E84" w:rsidRDefault="00576E84" w:rsidP="00B8183A">
      <w:pPr>
        <w:spacing w:after="0" w:line="240" w:lineRule="auto"/>
        <w:sectPr w:rsidR="00576E84" w:rsidSect="00576E8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F2D1D64" w14:textId="77777777" w:rsidR="00B8183A" w:rsidRDefault="00B8183A" w:rsidP="00B8183A">
      <w:pPr>
        <w:pBdr>
          <w:bottom w:val="single" w:sz="12" w:space="1" w:color="auto"/>
        </w:pBdr>
        <w:spacing w:after="0" w:line="240" w:lineRule="auto"/>
      </w:pPr>
    </w:p>
    <w:p w14:paraId="1A229118" w14:textId="3662F329" w:rsidR="00B8183A" w:rsidRDefault="00B8183A" w:rsidP="00B8183A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SUBAGREEMENTS</w:t>
      </w:r>
    </w:p>
    <w:p w14:paraId="58276672" w14:textId="0C653AFC" w:rsidR="002D4590" w:rsidRDefault="002D4590" w:rsidP="00B8183A">
      <w:pPr>
        <w:spacing w:after="0" w:line="240" w:lineRule="auto"/>
      </w:pPr>
      <w:r w:rsidRPr="00E73075">
        <w:t>A subagreement</w:t>
      </w:r>
      <w:r w:rsidR="00D80F48">
        <w:t xml:space="preserve"> is an</w:t>
      </w:r>
      <w:r w:rsidR="00D80F48" w:rsidRPr="001014E0">
        <w:t xml:space="preserve"> award provided </w:t>
      </w:r>
      <w:r w:rsidR="00D80F48">
        <w:t xml:space="preserve">to a </w:t>
      </w:r>
      <w:r w:rsidR="00D80F48" w:rsidRPr="001014E0">
        <w:t xml:space="preserve">third-party entity (not an individual or sole proprietor) carrying out a portion of the scope of work under a UCLA prime award. </w:t>
      </w:r>
      <w:r w:rsidR="00E73075">
        <w:t>P</w:t>
      </w:r>
      <w:r w:rsidR="00E73075" w:rsidRPr="001014E0">
        <w:t>lease note that i</w:t>
      </w:r>
      <w:r w:rsidR="00E73075">
        <w:t>t takes t</w:t>
      </w:r>
      <w:r w:rsidR="00E73075" w:rsidRPr="001014E0">
        <w:t>ime to</w:t>
      </w:r>
      <w:r w:rsidR="00E73075">
        <w:t xml:space="preserve"> obtain </w:t>
      </w:r>
      <w:r w:rsidR="00E73075" w:rsidRPr="001014E0">
        <w:t xml:space="preserve">all required paperwork from </w:t>
      </w:r>
      <w:r w:rsidR="00E73075">
        <w:t>sub</w:t>
      </w:r>
      <w:r w:rsidR="00E73075" w:rsidRPr="001014E0">
        <w:t xml:space="preserve">recipients so </w:t>
      </w:r>
      <w:r w:rsidR="00E73075" w:rsidRPr="00352708">
        <w:rPr>
          <w:u w:val="single"/>
        </w:rPr>
        <w:t>please give the subrecipient and your fund manager at least three weeks to coordinate all required paperwork.</w:t>
      </w:r>
    </w:p>
    <w:p w14:paraId="4638BC64" w14:textId="590CF46E" w:rsidR="00D80F48" w:rsidRDefault="00D80F48" w:rsidP="00D80F48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56B29FCA" w14:textId="6E585B4A" w:rsidR="00E56B45" w:rsidRPr="00E56B45" w:rsidRDefault="00E56B45" w:rsidP="00D80F48">
      <w:pPr>
        <w:spacing w:after="0" w:line="240" w:lineRule="auto"/>
      </w:pPr>
      <w:r>
        <w:rPr>
          <w:sz w:val="24"/>
          <w:szCs w:val="24"/>
        </w:rPr>
        <w:t xml:space="preserve">Two types of award mechanisms for </w:t>
      </w:r>
      <w:proofErr w:type="spellStart"/>
      <w:r>
        <w:rPr>
          <w:sz w:val="24"/>
          <w:szCs w:val="24"/>
        </w:rPr>
        <w:t>subagreements</w:t>
      </w:r>
      <w:proofErr w:type="spellEnd"/>
      <w:r>
        <w:rPr>
          <w:sz w:val="24"/>
          <w:szCs w:val="24"/>
        </w:rPr>
        <w:t>:</w:t>
      </w:r>
    </w:p>
    <w:p w14:paraId="3B24F91F" w14:textId="67698221" w:rsidR="00B8183A" w:rsidRDefault="00B8183A" w:rsidP="00D80F48">
      <w:pPr>
        <w:pStyle w:val="ListParagraph"/>
        <w:numPr>
          <w:ilvl w:val="0"/>
          <w:numId w:val="23"/>
        </w:numPr>
        <w:spacing w:after="0" w:line="240" w:lineRule="auto"/>
      </w:pPr>
      <w:r>
        <w:t>Subawards/Subcontracts</w:t>
      </w:r>
      <w:r w:rsidR="00E73075">
        <w:t xml:space="preserve"> for non-UC entities</w:t>
      </w:r>
    </w:p>
    <w:p w14:paraId="1475E4F8" w14:textId="288C62B9" w:rsidR="00B8183A" w:rsidRDefault="00B8183A" w:rsidP="00E73075">
      <w:pPr>
        <w:pStyle w:val="ListParagraph"/>
        <w:numPr>
          <w:ilvl w:val="0"/>
          <w:numId w:val="23"/>
        </w:numPr>
        <w:spacing w:after="0" w:line="240" w:lineRule="auto"/>
      </w:pPr>
      <w:r>
        <w:t>Multicampus Agreements (MCA)</w:t>
      </w:r>
      <w:r w:rsidR="00E73075">
        <w:t xml:space="preserve"> for UC campuses</w:t>
      </w:r>
    </w:p>
    <w:p w14:paraId="195BDDCC" w14:textId="77777777" w:rsidR="00E73075" w:rsidRDefault="00E73075" w:rsidP="00E73075">
      <w:pPr>
        <w:spacing w:after="0" w:line="240" w:lineRule="auto"/>
      </w:pPr>
    </w:p>
    <w:p w14:paraId="4BFB7E4B" w14:textId="58D2E2EB" w:rsidR="00E73075" w:rsidRDefault="00E73075" w:rsidP="00E73075">
      <w:pPr>
        <w:spacing w:after="0" w:line="240" w:lineRule="auto"/>
      </w:pPr>
      <w:r>
        <w:t>For each subagreement, the following documentation is required:</w:t>
      </w:r>
    </w:p>
    <w:p w14:paraId="4A2DAF10" w14:textId="77777777" w:rsidR="00E73075" w:rsidRDefault="00E73075" w:rsidP="00E73075">
      <w:pPr>
        <w:pStyle w:val="ListParagraph"/>
        <w:numPr>
          <w:ilvl w:val="0"/>
          <w:numId w:val="24"/>
        </w:numPr>
        <w:spacing w:after="0" w:line="240" w:lineRule="auto"/>
        <w:sectPr w:rsidR="00E73075" w:rsidSect="00613D9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C5C3B73" w14:textId="0EEBCC8E" w:rsidR="0082280D" w:rsidRDefault="0082280D" w:rsidP="00E7307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Itemized budget </w:t>
      </w:r>
    </w:p>
    <w:p w14:paraId="6481CB3B" w14:textId="4C578242" w:rsidR="0082280D" w:rsidRDefault="0082280D" w:rsidP="00E73075">
      <w:pPr>
        <w:pStyle w:val="ListParagraph"/>
        <w:numPr>
          <w:ilvl w:val="0"/>
          <w:numId w:val="24"/>
        </w:numPr>
        <w:spacing w:after="0" w:line="240" w:lineRule="auto"/>
      </w:pPr>
      <w:r>
        <w:t>Budget justification</w:t>
      </w:r>
    </w:p>
    <w:p w14:paraId="5A65B308" w14:textId="1837E9AD" w:rsidR="0082280D" w:rsidRDefault="0082280D" w:rsidP="00E7307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Statement of work to be </w:t>
      </w:r>
      <w:proofErr w:type="gramStart"/>
      <w:r>
        <w:t>performed</w:t>
      </w:r>
      <w:proofErr w:type="gramEnd"/>
    </w:p>
    <w:p w14:paraId="59D72444" w14:textId="35F21D25" w:rsidR="0082280D" w:rsidRDefault="0082280D" w:rsidP="00E73075">
      <w:pPr>
        <w:pStyle w:val="ListParagraph"/>
        <w:numPr>
          <w:ilvl w:val="0"/>
          <w:numId w:val="24"/>
        </w:numPr>
        <w:spacing w:after="0" w:line="240" w:lineRule="auto"/>
      </w:pPr>
      <w:r>
        <w:t>Subagreement PI’s and senior personnel’s CVs</w:t>
      </w:r>
    </w:p>
    <w:p w14:paraId="68407D98" w14:textId="45F605F9" w:rsidR="0082280D" w:rsidRDefault="0082280D" w:rsidP="00E7307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Your fund manager will provide additional UCLA OCGA </w:t>
      </w:r>
      <w:proofErr w:type="gramStart"/>
      <w:r>
        <w:t>forms</w:t>
      </w:r>
      <w:proofErr w:type="gramEnd"/>
    </w:p>
    <w:p w14:paraId="55A1D7AC" w14:textId="77777777" w:rsidR="00E73075" w:rsidRDefault="00E73075" w:rsidP="00B8183A">
      <w:pPr>
        <w:pBdr>
          <w:bottom w:val="single" w:sz="12" w:space="1" w:color="auto"/>
        </w:pBdr>
        <w:spacing w:after="0" w:line="240" w:lineRule="auto"/>
        <w:sectPr w:rsidR="00E73075" w:rsidSect="00E7307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074D5BB" w14:textId="77777777" w:rsidR="00B846BE" w:rsidRDefault="00B846BE" w:rsidP="00B8183A">
      <w:pPr>
        <w:pBdr>
          <w:bottom w:val="single" w:sz="12" w:space="1" w:color="auto"/>
        </w:pBdr>
        <w:spacing w:after="0" w:line="240" w:lineRule="auto"/>
      </w:pPr>
    </w:p>
    <w:p w14:paraId="6A853279" w14:textId="1AC0D974" w:rsidR="00394A37" w:rsidRDefault="00394A37" w:rsidP="00394A37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MATERIALS AND SUPPLIES</w:t>
      </w:r>
    </w:p>
    <w:p w14:paraId="2006ED74" w14:textId="2B8453DE" w:rsidR="002D4590" w:rsidRDefault="002D4590" w:rsidP="00394A37">
      <w:pPr>
        <w:spacing w:after="0" w:line="240" w:lineRule="auto"/>
      </w:pPr>
      <w:r>
        <w:lastRenderedPageBreak/>
        <w:t xml:space="preserve">List </w:t>
      </w:r>
      <w:r w:rsidR="00751152">
        <w:t xml:space="preserve">project specific </w:t>
      </w:r>
      <w:r>
        <w:t xml:space="preserve">materials and supplies that are </w:t>
      </w:r>
      <w:r w:rsidR="00A647CF">
        <w:t>expendable</w:t>
      </w:r>
      <w:r w:rsidR="00751152">
        <w:t>/</w:t>
      </w:r>
      <w:r>
        <w:t>consumable and cost less than $5k</w:t>
      </w:r>
      <w:r w:rsidR="00A647CF">
        <w:t xml:space="preserve"> per unit</w:t>
      </w:r>
      <w:r>
        <w:t>, including computers.</w:t>
      </w:r>
      <w:r w:rsidR="00A37035">
        <w:t xml:space="preserve"> Be sure to estimate costs associated with obtaining the supply/materials, includ</w:t>
      </w:r>
      <w:r w:rsidR="003618BA">
        <w:t>ing</w:t>
      </w:r>
      <w:r w:rsidR="00A37035">
        <w:t xml:space="preserve"> shipping, handling and delivery charges.</w:t>
      </w:r>
    </w:p>
    <w:p w14:paraId="3DE0E634" w14:textId="77777777" w:rsidR="00751152" w:rsidRDefault="00751152" w:rsidP="00394A37">
      <w:pPr>
        <w:spacing w:after="0" w:line="240" w:lineRule="auto"/>
      </w:pPr>
    </w:p>
    <w:p w14:paraId="11933991" w14:textId="6B0F1D38" w:rsidR="00751152" w:rsidRDefault="00751152" w:rsidP="00394A37">
      <w:pPr>
        <w:spacing w:after="0" w:line="240" w:lineRule="auto"/>
      </w:pPr>
      <w:r>
        <w:t>Examples of Materials and Supplies:</w:t>
      </w:r>
    </w:p>
    <w:p w14:paraId="63FF6940" w14:textId="77777777" w:rsidR="00751152" w:rsidRDefault="00751152" w:rsidP="00751152">
      <w:pPr>
        <w:pStyle w:val="ListParagraph"/>
        <w:numPr>
          <w:ilvl w:val="0"/>
          <w:numId w:val="17"/>
        </w:numPr>
        <w:spacing w:after="0" w:line="240" w:lineRule="auto"/>
        <w:sectPr w:rsidR="00751152" w:rsidSect="00613D9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05FD367" w14:textId="0AE9FDD0" w:rsidR="00751152" w:rsidRDefault="00751152" w:rsidP="00751152">
      <w:pPr>
        <w:pStyle w:val="ListParagraph"/>
        <w:numPr>
          <w:ilvl w:val="0"/>
          <w:numId w:val="17"/>
        </w:numPr>
        <w:spacing w:after="0" w:line="240" w:lineRule="auto"/>
      </w:pPr>
      <w:r>
        <w:t>Computing devices</w:t>
      </w:r>
    </w:p>
    <w:p w14:paraId="3B51C262" w14:textId="2E802331" w:rsidR="00751152" w:rsidRDefault="00751152" w:rsidP="00751152">
      <w:pPr>
        <w:pStyle w:val="ListParagraph"/>
        <w:numPr>
          <w:ilvl w:val="0"/>
          <w:numId w:val="17"/>
        </w:numPr>
        <w:spacing w:after="0" w:line="240" w:lineRule="auto"/>
      </w:pPr>
      <w:r>
        <w:t>Video cameras</w:t>
      </w:r>
    </w:p>
    <w:p w14:paraId="27EC2781" w14:textId="4CF3A9F3" w:rsidR="00751152" w:rsidRDefault="00751152" w:rsidP="00751152">
      <w:pPr>
        <w:pStyle w:val="ListParagraph"/>
        <w:numPr>
          <w:ilvl w:val="0"/>
          <w:numId w:val="17"/>
        </w:numPr>
        <w:spacing w:after="0" w:line="240" w:lineRule="auto"/>
      </w:pPr>
      <w:r>
        <w:t>Software</w:t>
      </w:r>
    </w:p>
    <w:p w14:paraId="36DEDB4E" w14:textId="210D9026" w:rsidR="00751152" w:rsidRDefault="00751152" w:rsidP="00751152">
      <w:pPr>
        <w:pStyle w:val="ListParagraph"/>
        <w:numPr>
          <w:ilvl w:val="0"/>
          <w:numId w:val="17"/>
        </w:numPr>
        <w:spacing w:after="0" w:line="240" w:lineRule="auto"/>
      </w:pPr>
      <w:r>
        <w:t>Instructional supplies</w:t>
      </w:r>
    </w:p>
    <w:p w14:paraId="03744765" w14:textId="670EE9BD" w:rsidR="00751152" w:rsidRDefault="00751152" w:rsidP="00751152">
      <w:pPr>
        <w:pStyle w:val="ListParagraph"/>
        <w:numPr>
          <w:ilvl w:val="0"/>
          <w:numId w:val="17"/>
        </w:numPr>
        <w:spacing w:after="0" w:line="240" w:lineRule="auto"/>
      </w:pPr>
      <w:r>
        <w:t>laboratory supplies</w:t>
      </w:r>
    </w:p>
    <w:p w14:paraId="1155BBAD" w14:textId="42601721" w:rsidR="00751152" w:rsidRDefault="00751152" w:rsidP="00751152">
      <w:pPr>
        <w:pStyle w:val="ListParagraph"/>
        <w:numPr>
          <w:ilvl w:val="0"/>
          <w:numId w:val="17"/>
        </w:numPr>
        <w:spacing w:after="0" w:line="240" w:lineRule="auto"/>
      </w:pPr>
      <w:r>
        <w:t>general supplies (for conference or training proposals)</w:t>
      </w:r>
    </w:p>
    <w:p w14:paraId="351A2511" w14:textId="77777777" w:rsidR="00751152" w:rsidRDefault="00751152" w:rsidP="00751152">
      <w:pPr>
        <w:pStyle w:val="ListParagraph"/>
        <w:spacing w:after="0" w:line="240" w:lineRule="auto"/>
      </w:pPr>
    </w:p>
    <w:p w14:paraId="58759557" w14:textId="77777777" w:rsidR="000604AC" w:rsidRDefault="000604AC" w:rsidP="00751152">
      <w:pPr>
        <w:pStyle w:val="ListParagraph"/>
        <w:spacing w:after="0" w:line="240" w:lineRule="auto"/>
        <w:sectPr w:rsidR="000604AC" w:rsidSect="0075115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8FC3535" w14:textId="65DB3186" w:rsidR="00751152" w:rsidRDefault="00D71BE1" w:rsidP="00D71BE1">
      <w:pPr>
        <w:pBdr>
          <w:bottom w:val="single" w:sz="12" w:space="1" w:color="auto"/>
        </w:pBdr>
        <w:tabs>
          <w:tab w:val="left" w:pos="2490"/>
        </w:tabs>
        <w:spacing w:after="0" w:line="240" w:lineRule="auto"/>
      </w:pPr>
      <w:r>
        <w:tab/>
      </w:r>
    </w:p>
    <w:p w14:paraId="5D94C0FF" w14:textId="0414FD43" w:rsidR="00394A37" w:rsidRDefault="00394A37" w:rsidP="00394A37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OTHER DIRECT COSTS</w:t>
      </w:r>
    </w:p>
    <w:p w14:paraId="3B0417F1" w14:textId="4802BB15" w:rsidR="00A36FBC" w:rsidRDefault="00A36FBC" w:rsidP="00394A37">
      <w:pPr>
        <w:spacing w:after="0" w:line="240" w:lineRule="auto"/>
      </w:pPr>
      <w:r>
        <w:t xml:space="preserve">List other direct costs that are not appropriate to include </w:t>
      </w:r>
      <w:r w:rsidR="00E045E8">
        <w:t xml:space="preserve">in </w:t>
      </w:r>
      <w:r>
        <w:t xml:space="preserve">any of the defined cost categories listed above. </w:t>
      </w:r>
    </w:p>
    <w:p w14:paraId="0D4E56E5" w14:textId="77777777" w:rsidR="00CC0C27" w:rsidRPr="00CE6C87" w:rsidRDefault="00CC0C27" w:rsidP="00394A37">
      <w:pPr>
        <w:spacing w:after="0" w:line="240" w:lineRule="auto"/>
        <w:rPr>
          <w:color w:val="4472C4" w:themeColor="accent1"/>
        </w:rPr>
      </w:pPr>
    </w:p>
    <w:p w14:paraId="2806EC38" w14:textId="66354D2C" w:rsidR="00A36FBC" w:rsidRPr="00CE6C87" w:rsidRDefault="008D6DF1" w:rsidP="00CC0C27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4472C4" w:themeColor="accent1"/>
        </w:rPr>
      </w:pPr>
      <w:hyperlink r:id="rId13" w:history="1">
        <w:r w:rsidR="00F50D9A" w:rsidRPr="00CE6C87">
          <w:rPr>
            <w:rStyle w:val="Hyperlink"/>
            <w:b/>
            <w:bCs/>
            <w:color w:val="4472C4" w:themeColor="accent1"/>
          </w:rPr>
          <w:t>Technology Infrastructure Fee</w:t>
        </w:r>
        <w:r w:rsidR="00A36FBC" w:rsidRPr="00CE6C87">
          <w:rPr>
            <w:rStyle w:val="Hyperlink"/>
            <w:b/>
            <w:bCs/>
            <w:color w:val="4472C4" w:themeColor="accent1"/>
          </w:rPr>
          <w:t xml:space="preserve"> (TIF)</w:t>
        </w:r>
      </w:hyperlink>
      <w:r w:rsidR="0082280D" w:rsidRPr="00CE6C87">
        <w:rPr>
          <w:b/>
          <w:bCs/>
          <w:color w:val="4472C4" w:themeColor="accent1"/>
        </w:rPr>
        <w:t xml:space="preserve"> </w:t>
      </w:r>
    </w:p>
    <w:p w14:paraId="17AC7108" w14:textId="5B4529D5" w:rsidR="00F50D9A" w:rsidRDefault="00A36FBC" w:rsidP="00EF68FD">
      <w:pPr>
        <w:spacing w:after="0" w:line="240" w:lineRule="auto"/>
        <w:ind w:firstLine="360"/>
      </w:pPr>
      <w:r>
        <w:t xml:space="preserve">Assessed to all </w:t>
      </w:r>
      <w:r w:rsidR="00332150">
        <w:t>salary</w:t>
      </w:r>
      <w:r>
        <w:t xml:space="preserve">, regardless of funding source. </w:t>
      </w:r>
    </w:p>
    <w:p w14:paraId="2361E037" w14:textId="77777777" w:rsidR="00A36FBC" w:rsidRDefault="00A36FBC" w:rsidP="00CC0C2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FY 2023-24 rate is </w:t>
      </w:r>
      <w:proofErr w:type="gramStart"/>
      <w:r>
        <w:t>$43.96</w:t>
      </w:r>
      <w:proofErr w:type="gramEnd"/>
    </w:p>
    <w:p w14:paraId="2841771F" w14:textId="41769B54" w:rsidR="00A36FBC" w:rsidRDefault="00A36FBC" w:rsidP="00CC0C2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TIF cost per budget year </w:t>
      </w:r>
      <w:proofErr w:type="gramStart"/>
      <w:r>
        <w:t>=  #</w:t>
      </w:r>
      <w:proofErr w:type="gramEnd"/>
      <w:r>
        <w:t xml:space="preserve"> of months employed </w:t>
      </w:r>
      <w:r w:rsidR="00332150">
        <w:t xml:space="preserve">per personnel multiplied by </w:t>
      </w:r>
      <w:r>
        <w:t xml:space="preserve">TIF rate </w:t>
      </w:r>
      <w:r w:rsidR="00332150">
        <w:t>multiplied by</w:t>
      </w:r>
      <w:r>
        <w:t xml:space="preserve"> work percentage</w:t>
      </w:r>
    </w:p>
    <w:p w14:paraId="57CE6BDD" w14:textId="19C4490F" w:rsidR="00332150" w:rsidRDefault="00332150" w:rsidP="00CC0C2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Summer salary </w:t>
      </w:r>
      <w:r w:rsidR="00CC0C27">
        <w:t xml:space="preserve">is </w:t>
      </w:r>
      <w:r>
        <w:t xml:space="preserve">not assessed </w:t>
      </w:r>
      <w:proofErr w:type="gramStart"/>
      <w:r>
        <w:t>TIF</w:t>
      </w:r>
      <w:proofErr w:type="gramEnd"/>
    </w:p>
    <w:p w14:paraId="61087113" w14:textId="33BD9E53" w:rsidR="00A36FBC" w:rsidRPr="00CE6C87" w:rsidRDefault="008D6DF1" w:rsidP="005C614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4472C4" w:themeColor="accent1"/>
        </w:rPr>
      </w:pPr>
      <w:hyperlink r:id="rId14" w:history="1">
        <w:r w:rsidR="00A36FBC" w:rsidRPr="00CE6C87">
          <w:rPr>
            <w:rStyle w:val="Hyperlink"/>
            <w:b/>
            <w:bCs/>
            <w:color w:val="4472C4" w:themeColor="accent1"/>
          </w:rPr>
          <w:t>General and Employment Liability Assessment Rate (</w:t>
        </w:r>
        <w:r w:rsidR="00F50D9A" w:rsidRPr="00CE6C87">
          <w:rPr>
            <w:rStyle w:val="Hyperlink"/>
            <w:b/>
            <w:bCs/>
            <w:color w:val="4472C4" w:themeColor="accent1"/>
          </w:rPr>
          <w:t>GAEL</w:t>
        </w:r>
        <w:r w:rsidR="00A36FBC" w:rsidRPr="00CE6C87">
          <w:rPr>
            <w:rStyle w:val="Hyperlink"/>
            <w:b/>
            <w:bCs/>
            <w:color w:val="4472C4" w:themeColor="accent1"/>
          </w:rPr>
          <w:t>)</w:t>
        </w:r>
      </w:hyperlink>
    </w:p>
    <w:p w14:paraId="5933169A" w14:textId="571B2645" w:rsidR="005C614B" w:rsidRDefault="00CE6C87" w:rsidP="00EF68FD">
      <w:pPr>
        <w:spacing w:after="0" w:line="240" w:lineRule="auto"/>
        <w:ind w:left="360"/>
      </w:pPr>
      <w:r>
        <w:t>Assessed</w:t>
      </w:r>
      <w:r w:rsidR="00332150">
        <w:t xml:space="preserve"> </w:t>
      </w:r>
      <w:r>
        <w:t xml:space="preserve">on </w:t>
      </w:r>
      <w:r w:rsidR="00332150">
        <w:t xml:space="preserve">salary </w:t>
      </w:r>
      <w:r w:rsidR="00E045E8">
        <w:t>on</w:t>
      </w:r>
      <w:r w:rsidR="00332150">
        <w:t xml:space="preserve"> all extramural funding </w:t>
      </w:r>
      <w:r w:rsidR="00E045E8">
        <w:t>except</w:t>
      </w:r>
      <w:r w:rsidR="00332150">
        <w:t xml:space="preserve"> for federal government, federal flow-through funds and certain contracts and grants from state or local government. </w:t>
      </w:r>
      <w:r w:rsidR="00E045E8">
        <w:t>Please w</w:t>
      </w:r>
      <w:r w:rsidR="00332150">
        <w:t xml:space="preserve">ork with your assigned fund manager to determine </w:t>
      </w:r>
      <w:proofErr w:type="gramStart"/>
      <w:r w:rsidR="00332150">
        <w:t>assessment</w:t>
      </w:r>
      <w:proofErr w:type="gramEnd"/>
      <w:r w:rsidR="00332150">
        <w:t>.</w:t>
      </w:r>
    </w:p>
    <w:p w14:paraId="47DE583E" w14:textId="3AA14DD1" w:rsidR="00F50D9A" w:rsidRDefault="0082280D" w:rsidP="005C614B">
      <w:pPr>
        <w:pStyle w:val="ListParagraph"/>
        <w:numPr>
          <w:ilvl w:val="1"/>
          <w:numId w:val="19"/>
        </w:numPr>
        <w:spacing w:after="0" w:line="240" w:lineRule="auto"/>
      </w:pPr>
      <w:r>
        <w:t>FY 2023-24 rate</w:t>
      </w:r>
      <w:r w:rsidR="00A36FBC">
        <w:t xml:space="preserve"> for LSPA</w:t>
      </w:r>
      <w:r>
        <w:t xml:space="preserve"> is $1.76</w:t>
      </w:r>
    </w:p>
    <w:p w14:paraId="0355D426" w14:textId="70612424" w:rsidR="00A36FBC" w:rsidRDefault="00332150" w:rsidP="005C614B">
      <w:pPr>
        <w:pStyle w:val="ListParagraph"/>
        <w:numPr>
          <w:ilvl w:val="1"/>
          <w:numId w:val="19"/>
        </w:numPr>
        <w:spacing w:after="0" w:line="240" w:lineRule="auto"/>
      </w:pPr>
      <w:r>
        <w:t>GAEL cost per budget year = Total Salaries/100 multiplied by current FY GAEL rate</w:t>
      </w:r>
    </w:p>
    <w:p w14:paraId="54A64FF1" w14:textId="77777777" w:rsidR="0082280D" w:rsidRPr="00CE6C87" w:rsidRDefault="0082280D" w:rsidP="005C614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4472C4" w:themeColor="accent1"/>
        </w:rPr>
      </w:pPr>
      <w:r w:rsidRPr="00CE6C87">
        <w:rPr>
          <w:b/>
          <w:bCs/>
          <w:color w:val="4472C4" w:themeColor="accent1"/>
        </w:rPr>
        <w:t>GSR fee remissions</w:t>
      </w:r>
    </w:p>
    <w:p w14:paraId="34D8BB0B" w14:textId="3C24383C" w:rsidR="00CD0BA0" w:rsidRDefault="00CD0BA0" w:rsidP="00EF68FD">
      <w:pPr>
        <w:spacing w:after="0" w:line="240" w:lineRule="auto"/>
        <w:ind w:firstLine="360"/>
      </w:pPr>
      <w:r>
        <w:t>Eligibility for GSR Fee Remissions:</w:t>
      </w:r>
    </w:p>
    <w:p w14:paraId="6B8D2B7E" w14:textId="581D41E5" w:rsidR="00CD0BA0" w:rsidRDefault="00CD0BA0" w:rsidP="005C614B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Be employed in a cumulative GSR title 25% or more for quarter for which tuition is </w:t>
      </w:r>
      <w:proofErr w:type="gramStart"/>
      <w:r>
        <w:t>paid</w:t>
      </w:r>
      <w:proofErr w:type="gramEnd"/>
    </w:p>
    <w:p w14:paraId="11EE563C" w14:textId="19C41501" w:rsidR="00CD0BA0" w:rsidRDefault="00CD0BA0" w:rsidP="005C614B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Be registered/enrolled in at least 12 unit continuously for term of </w:t>
      </w:r>
      <w:proofErr w:type="gramStart"/>
      <w:r>
        <w:t>appointment</w:t>
      </w:r>
      <w:proofErr w:type="gramEnd"/>
    </w:p>
    <w:p w14:paraId="64EC6431" w14:textId="56A8E4D1" w:rsidR="00CD0BA0" w:rsidRDefault="00CD0BA0" w:rsidP="005C614B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Cumulative GPA must be 3.0 or </w:t>
      </w:r>
      <w:proofErr w:type="gramStart"/>
      <w:r>
        <w:t>higher</w:t>
      </w:r>
      <w:proofErr w:type="gramEnd"/>
    </w:p>
    <w:p w14:paraId="5EC005FB" w14:textId="2EE21607" w:rsidR="00F50D9A" w:rsidRPr="005C451B" w:rsidRDefault="00F50D9A" w:rsidP="005C614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4472C4" w:themeColor="accent1"/>
        </w:rPr>
      </w:pPr>
      <w:r w:rsidRPr="005C451B">
        <w:rPr>
          <w:b/>
          <w:bCs/>
          <w:color w:val="4472C4" w:themeColor="accent1"/>
        </w:rPr>
        <w:t>Publication/documentation/dissemination</w:t>
      </w:r>
    </w:p>
    <w:p w14:paraId="45844A2D" w14:textId="42828A86" w:rsidR="00CD0BA0" w:rsidRDefault="00CD0BA0" w:rsidP="00EF68FD">
      <w:pPr>
        <w:spacing w:after="0" w:line="240" w:lineRule="auto"/>
        <w:ind w:left="360"/>
      </w:pPr>
      <w:r>
        <w:t xml:space="preserve">List costs associated with documenting, preparing, publishing, disseminating and sharing sponsored research findings. </w:t>
      </w:r>
    </w:p>
    <w:p w14:paraId="4BCC4E43" w14:textId="24A5C038" w:rsidR="002805B6" w:rsidRPr="005C451B" w:rsidRDefault="0082280D" w:rsidP="005C614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4472C4" w:themeColor="accent1"/>
        </w:rPr>
      </w:pPr>
      <w:r w:rsidRPr="005C451B">
        <w:rPr>
          <w:b/>
          <w:bCs/>
          <w:color w:val="4472C4" w:themeColor="accent1"/>
        </w:rPr>
        <w:t>Consultant services</w:t>
      </w:r>
      <w:r w:rsidR="00BA15C5">
        <w:rPr>
          <w:b/>
          <w:bCs/>
          <w:color w:val="4472C4" w:themeColor="accent1"/>
        </w:rPr>
        <w:t xml:space="preserve"> and/or Professional Services</w:t>
      </w:r>
    </w:p>
    <w:p w14:paraId="77ED3D1B" w14:textId="7EA3B8EA" w:rsidR="00BA15C5" w:rsidRDefault="00540903" w:rsidP="00EF68FD">
      <w:pPr>
        <w:spacing w:after="0" w:line="240" w:lineRule="auto"/>
        <w:ind w:left="360"/>
      </w:pPr>
      <w:r>
        <w:t>List all consultants and independent contracto</w:t>
      </w:r>
      <w:r w:rsidR="00BA15C5">
        <w:t>r</w:t>
      </w:r>
      <w:r>
        <w:t xml:space="preserve">s </w:t>
      </w:r>
      <w:r w:rsidR="00BA15C5">
        <w:t>that will be rendering a professional service</w:t>
      </w:r>
      <w:r w:rsidR="0079719B">
        <w:t xml:space="preserve"> or special skill</w:t>
      </w:r>
      <w:r w:rsidR="00BA15C5">
        <w:t xml:space="preserve"> for the project.</w:t>
      </w:r>
    </w:p>
    <w:p w14:paraId="2F38C3FB" w14:textId="77777777" w:rsidR="00EF68FD" w:rsidRDefault="00EF68FD" w:rsidP="00EF68FD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Estimated total should include consultant/independent contractor’s rate, hours, </w:t>
      </w:r>
      <w:proofErr w:type="gramStart"/>
      <w:r>
        <w:t>expenses</w:t>
      </w:r>
      <w:proofErr w:type="gramEnd"/>
    </w:p>
    <w:p w14:paraId="759F9D78" w14:textId="3AE7BF0D" w:rsidR="004D79EE" w:rsidRDefault="004D79EE" w:rsidP="004D79EE">
      <w:pPr>
        <w:pStyle w:val="ListParagraph"/>
        <w:numPr>
          <w:ilvl w:val="3"/>
          <w:numId w:val="19"/>
        </w:numPr>
        <w:spacing w:after="0" w:line="240" w:lineRule="auto"/>
      </w:pPr>
      <w:r>
        <w:t xml:space="preserve">A quote, budget and budget justification may be required per sponsor </w:t>
      </w:r>
      <w:proofErr w:type="gramStart"/>
      <w:r>
        <w:t>guidelines</w:t>
      </w:r>
      <w:proofErr w:type="gramEnd"/>
    </w:p>
    <w:p w14:paraId="7A980DE9" w14:textId="5C9C6370" w:rsidR="00BA15C5" w:rsidRDefault="005C614B" w:rsidP="00EF68FD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Consultants and Contractors are </w:t>
      </w:r>
      <w:r w:rsidR="00BA15C5" w:rsidRPr="005C614B">
        <w:rPr>
          <w:b/>
          <w:bCs/>
          <w:u w:val="single"/>
        </w:rPr>
        <w:t>not</w:t>
      </w:r>
      <w:r w:rsidR="00BA15C5">
        <w:t xml:space="preserve"> employed by UCLA </w:t>
      </w:r>
      <w:r w:rsidR="0079719B">
        <w:t xml:space="preserve">or the UC </w:t>
      </w:r>
      <w:proofErr w:type="gramStart"/>
      <w:r w:rsidR="0079719B">
        <w:t>system</w:t>
      </w:r>
      <w:proofErr w:type="gramEnd"/>
    </w:p>
    <w:p w14:paraId="6319A9FD" w14:textId="0106F0A1" w:rsidR="005C614B" w:rsidRDefault="005C614B" w:rsidP="00EF68FD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Former University employees may not be hired in this category for two years from date of </w:t>
      </w:r>
      <w:proofErr w:type="gramStart"/>
      <w:r>
        <w:t>separation</w:t>
      </w:r>
      <w:proofErr w:type="gramEnd"/>
    </w:p>
    <w:p w14:paraId="5D7CE4EC" w14:textId="46FE4F9B" w:rsidR="00171B94" w:rsidRDefault="00171B94" w:rsidP="005C614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4472C4" w:themeColor="accent1"/>
        </w:rPr>
      </w:pPr>
      <w:r w:rsidRPr="005C451B">
        <w:rPr>
          <w:b/>
          <w:bCs/>
          <w:color w:val="4472C4" w:themeColor="accent1"/>
        </w:rPr>
        <w:t>Human Subject Disbursements</w:t>
      </w:r>
    </w:p>
    <w:p w14:paraId="6CF0E4AD" w14:textId="05013342" w:rsidR="00CC0C27" w:rsidRDefault="00EF68FD" w:rsidP="00EF68FD">
      <w:pPr>
        <w:spacing w:after="0" w:line="240" w:lineRule="auto"/>
        <w:ind w:firstLine="360"/>
      </w:pPr>
      <w:r>
        <w:t>List c</w:t>
      </w:r>
      <w:r w:rsidR="00CC0C27" w:rsidRPr="005C614B">
        <w:t>ompensation for human subject participants</w:t>
      </w:r>
      <w:r w:rsidR="00894D8D">
        <w:t>.</w:t>
      </w:r>
    </w:p>
    <w:p w14:paraId="39E0F2BA" w14:textId="48270DEE" w:rsidR="00894D8D" w:rsidRDefault="00894D8D" w:rsidP="00894D8D">
      <w:pPr>
        <w:pStyle w:val="ListParagraph"/>
        <w:numPr>
          <w:ilvl w:val="2"/>
          <w:numId w:val="21"/>
        </w:numPr>
        <w:spacing w:after="0" w:line="240" w:lineRule="auto"/>
      </w:pPr>
      <w:r>
        <w:t>Determine how many human subjects are needed.</w:t>
      </w:r>
    </w:p>
    <w:p w14:paraId="5DA1434F" w14:textId="6799261E" w:rsidR="00894D8D" w:rsidRDefault="00894D8D" w:rsidP="00894D8D">
      <w:pPr>
        <w:pStyle w:val="ListParagraph"/>
        <w:numPr>
          <w:ilvl w:val="2"/>
          <w:numId w:val="21"/>
        </w:numPr>
        <w:spacing w:after="0" w:line="240" w:lineRule="auto"/>
      </w:pPr>
      <w:r>
        <w:t xml:space="preserve">Calculate compensation amount(s) and type(s). </w:t>
      </w:r>
    </w:p>
    <w:p w14:paraId="7F808A71" w14:textId="1EC05F60" w:rsidR="00894D8D" w:rsidRPr="005C614B" w:rsidRDefault="00894D8D" w:rsidP="00894D8D">
      <w:pPr>
        <w:pStyle w:val="ListParagraph"/>
        <w:numPr>
          <w:ilvl w:val="2"/>
          <w:numId w:val="21"/>
        </w:numPr>
        <w:spacing w:after="0" w:line="240" w:lineRule="auto"/>
      </w:pPr>
      <w:r>
        <w:t>Determine how many times you will be paying subjects per year.</w:t>
      </w:r>
    </w:p>
    <w:p w14:paraId="43F92DE3" w14:textId="79B98031" w:rsidR="00171B94" w:rsidRDefault="00171B94" w:rsidP="005C614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4472C4" w:themeColor="accent1"/>
        </w:rPr>
      </w:pPr>
      <w:r w:rsidRPr="005C451B">
        <w:rPr>
          <w:b/>
          <w:bCs/>
          <w:color w:val="4472C4" w:themeColor="accent1"/>
        </w:rPr>
        <w:t>UCLA Student Stipends</w:t>
      </w:r>
    </w:p>
    <w:p w14:paraId="24F08164" w14:textId="6D900421" w:rsidR="00222116" w:rsidRDefault="00222116" w:rsidP="00EF68FD">
      <w:pPr>
        <w:spacing w:after="0" w:line="240" w:lineRule="auto"/>
        <w:ind w:firstLine="360"/>
      </w:pPr>
      <w:r>
        <w:t xml:space="preserve">Allowed on sponsored projects with a training component and fellowships. </w:t>
      </w:r>
    </w:p>
    <w:p w14:paraId="6AD4EDDD" w14:textId="6909BE21" w:rsidR="00222116" w:rsidRPr="00222116" w:rsidRDefault="00222116" w:rsidP="00222116">
      <w:pPr>
        <w:pStyle w:val="ListParagraph"/>
        <w:numPr>
          <w:ilvl w:val="1"/>
          <w:numId w:val="19"/>
        </w:numPr>
        <w:spacing w:after="0" w:line="240" w:lineRule="auto"/>
      </w:pPr>
      <w:r>
        <w:lastRenderedPageBreak/>
        <w:t xml:space="preserve">Student stipends </w:t>
      </w:r>
      <w:r w:rsidRPr="00222116">
        <w:rPr>
          <w:u w:val="single"/>
        </w:rPr>
        <w:t>are not</w:t>
      </w:r>
      <w:r>
        <w:t xml:space="preserve"> compensation for services rendered.</w:t>
      </w:r>
    </w:p>
    <w:p w14:paraId="14FA0B00" w14:textId="618ADADB" w:rsidR="00F50D9A" w:rsidRPr="00066EC5" w:rsidRDefault="00171B94" w:rsidP="005C614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5C451B">
        <w:rPr>
          <w:b/>
          <w:bCs/>
          <w:color w:val="4472C4" w:themeColor="accent1"/>
        </w:rPr>
        <w:t>Facility Rental Costs/Events (when hosting a conference or workshop)</w:t>
      </w:r>
    </w:p>
    <w:p w14:paraId="7B282C5E" w14:textId="3626E518" w:rsidR="00066EC5" w:rsidRPr="00EF68FD" w:rsidRDefault="00EF68FD" w:rsidP="00EF68FD">
      <w:pPr>
        <w:spacing w:after="0" w:line="240" w:lineRule="auto"/>
        <w:ind w:left="360"/>
        <w:rPr>
          <w:b/>
          <w:bCs/>
        </w:rPr>
      </w:pPr>
      <w:r>
        <w:t>List costs r</w:t>
      </w:r>
      <w:r w:rsidR="00066EC5">
        <w:t>elated to an event or conference created (hosted) by project</w:t>
      </w:r>
      <w:r w:rsidR="004534BF">
        <w:t xml:space="preserve"> (e.g., venue rental fees, catering costs, supplies, </w:t>
      </w:r>
      <w:proofErr w:type="spellStart"/>
      <w:r w:rsidR="004534BF">
        <w:t>etc</w:t>
      </w:r>
      <w:proofErr w:type="spellEnd"/>
      <w:r w:rsidR="004534BF">
        <w:t>)</w:t>
      </w:r>
      <w:r w:rsidR="00066EC5">
        <w:t xml:space="preserve">. </w:t>
      </w:r>
      <w:r w:rsidR="004D79EE">
        <w:t>Please work with you</w:t>
      </w:r>
      <w:r w:rsidR="000C6BC7">
        <w:t>r</w:t>
      </w:r>
      <w:r w:rsidR="004D79EE">
        <w:t xml:space="preserve"> assigned fund manager </w:t>
      </w:r>
      <w:r w:rsidR="000C6BC7">
        <w:t>to determine allowable costs per sponsor guidelines.</w:t>
      </w:r>
    </w:p>
    <w:p w14:paraId="3C753E58" w14:textId="77777777" w:rsidR="004534BF" w:rsidRDefault="004534BF" w:rsidP="00394A37">
      <w:pPr>
        <w:pBdr>
          <w:bottom w:val="single" w:sz="12" w:space="1" w:color="auto"/>
        </w:pBd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60A415B" w14:textId="78E5914E" w:rsidR="00394A37" w:rsidRPr="000109AE" w:rsidRDefault="00394A37" w:rsidP="00394A37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INDIRECT COSTS</w:t>
      </w:r>
    </w:p>
    <w:p w14:paraId="41E11966" w14:textId="43D8326E" w:rsidR="00F50D9A" w:rsidRDefault="00D61976" w:rsidP="00D61976">
      <w:pPr>
        <w:spacing w:after="0" w:line="240" w:lineRule="auto"/>
      </w:pPr>
      <w:r>
        <w:t xml:space="preserve">Indirect costs </w:t>
      </w:r>
      <w:proofErr w:type="gramStart"/>
      <w:r>
        <w:t>also</w:t>
      </w:r>
      <w:proofErr w:type="gramEnd"/>
      <w:r>
        <w:t xml:space="preserve"> called Facilities and Administrative (F&amp;A) costs, or overhead.  </w:t>
      </w:r>
      <w:r w:rsidR="00352708">
        <w:t>Please consult with your assigned fund manager to calculate F&amp;A costs. UC policy requires the full recovery of F&amp;A costs whenever possible. F</w:t>
      </w:r>
      <w:r>
        <w:t xml:space="preserve">ull F&amp;A costs </w:t>
      </w:r>
      <w:r w:rsidR="00352708">
        <w:t xml:space="preserve">will be assessed </w:t>
      </w:r>
      <w:r>
        <w:t>according to UCLA federally negotiated rates, unless limited or prohibited by sponsor guidelines (sponsor documentation required).</w:t>
      </w:r>
    </w:p>
    <w:p w14:paraId="4785F549" w14:textId="77777777" w:rsidR="00D61976" w:rsidRDefault="00D61976" w:rsidP="00D61976">
      <w:pPr>
        <w:spacing w:after="0" w:line="240" w:lineRule="auto"/>
      </w:pPr>
    </w:p>
    <w:p w14:paraId="1A456B06" w14:textId="7C9C81C3" w:rsidR="00D632E3" w:rsidRDefault="00D61976" w:rsidP="00D61976">
      <w:pPr>
        <w:spacing w:after="0" w:line="240" w:lineRule="auto"/>
      </w:pPr>
      <w:r>
        <w:t xml:space="preserve">For current rates, consult with assigned fund manager and visit the OCGA </w:t>
      </w:r>
      <w:hyperlink r:id="rId15" w:history="1">
        <w:r w:rsidRPr="00D61976">
          <w:rPr>
            <w:rStyle w:val="Hyperlink"/>
          </w:rPr>
          <w:t>Facilities and Administrative Costs website.</w:t>
        </w:r>
      </w:hyperlink>
    </w:p>
    <w:p w14:paraId="28F1638B" w14:textId="77777777" w:rsidR="00D61976" w:rsidRDefault="00D61976" w:rsidP="00D61976">
      <w:pPr>
        <w:pBdr>
          <w:bottom w:val="single" w:sz="12" w:space="1" w:color="auto"/>
        </w:pBdr>
        <w:spacing w:after="0" w:line="240" w:lineRule="auto"/>
      </w:pPr>
    </w:p>
    <w:p w14:paraId="7824E4C9" w14:textId="7FF49CE2" w:rsidR="00394A37" w:rsidRPr="000109AE" w:rsidRDefault="00394A37" w:rsidP="00394A37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COST SHARE</w:t>
      </w:r>
      <w:r w:rsidR="005D6BB6">
        <w:rPr>
          <w:b/>
          <w:bCs/>
          <w:color w:val="4472C4" w:themeColor="accent1"/>
          <w:sz w:val="24"/>
          <w:szCs w:val="24"/>
        </w:rPr>
        <w:t xml:space="preserve"> AND MATCHING FUNDS</w:t>
      </w:r>
    </w:p>
    <w:p w14:paraId="5F906B95" w14:textId="6F99005C" w:rsidR="005D6BB6" w:rsidRDefault="005D6BB6" w:rsidP="005D6BB6">
      <w:r w:rsidRPr="006210B0">
        <w:rPr>
          <w:u w:val="single"/>
        </w:rPr>
        <w:t>UCLA strongly discourages cost</w:t>
      </w:r>
      <w:r>
        <w:rPr>
          <w:u w:val="single"/>
        </w:rPr>
        <w:t xml:space="preserve"> </w:t>
      </w:r>
      <w:r w:rsidRPr="006210B0">
        <w:rPr>
          <w:u w:val="single"/>
        </w:rPr>
        <w:t>sharing unless it is required or specifically requested by the sponsor.</w:t>
      </w:r>
      <w:r w:rsidRPr="008F3AC5">
        <w:t> All forms of cost</w:t>
      </w:r>
      <w:r>
        <w:t xml:space="preserve"> </w:t>
      </w:r>
      <w:r w:rsidRPr="008F3AC5">
        <w:t xml:space="preserve">sharing — whether in-kind salary contributions or other matching funds — </w:t>
      </w:r>
      <w:r>
        <w:t>are a binding commitment. Please note that NSF does not allow for cost sharing.</w:t>
      </w:r>
      <w:r w:rsidR="00D80F48">
        <w:t xml:space="preserve"> </w:t>
      </w:r>
    </w:p>
    <w:p w14:paraId="4B17F434" w14:textId="6262B8D4" w:rsidR="005D6BB6" w:rsidRDefault="005D6BB6" w:rsidP="005D6BB6">
      <w:pPr>
        <w:spacing w:after="0" w:line="240" w:lineRule="auto"/>
      </w:pPr>
      <w:r>
        <w:t>Please consult with your assigned fund manager regarding types of cost sharing (Mandatory vs Voluntary Committed)</w:t>
      </w:r>
      <w:r w:rsidR="00D80F48">
        <w:t xml:space="preserve"> and allowable cost sharing costs per sponsor guidelines.</w:t>
      </w:r>
    </w:p>
    <w:p w14:paraId="3F9826DE" w14:textId="77777777" w:rsidR="005D6BB6" w:rsidRPr="008F3AC5" w:rsidRDefault="005D6BB6" w:rsidP="009B2A70">
      <w:pPr>
        <w:pBdr>
          <w:bottom w:val="single" w:sz="12" w:space="1" w:color="auto"/>
        </w:pBdr>
        <w:spacing w:after="0"/>
      </w:pPr>
    </w:p>
    <w:p w14:paraId="4A9CDF41" w14:textId="5C85749F" w:rsidR="00872D94" w:rsidRPr="000109AE" w:rsidRDefault="00872D94" w:rsidP="009B2A70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0109AE">
        <w:rPr>
          <w:b/>
          <w:bCs/>
          <w:color w:val="4472C4" w:themeColor="accent1"/>
          <w:sz w:val="24"/>
          <w:szCs w:val="24"/>
        </w:rPr>
        <w:t>BUDGET JUSTIFICATION</w:t>
      </w:r>
    </w:p>
    <w:p w14:paraId="31AAE8A4" w14:textId="3C86B801" w:rsidR="00394A37" w:rsidRDefault="00D80F48" w:rsidP="00394A37">
      <w:pPr>
        <w:spacing w:after="0" w:line="240" w:lineRule="auto"/>
      </w:pPr>
      <w:r>
        <w:t xml:space="preserve">Please use our LSPA Budget Justification Template found on the </w:t>
      </w:r>
      <w:hyperlink r:id="rId16" w:history="1">
        <w:r w:rsidRPr="00D80F48">
          <w:rPr>
            <w:rStyle w:val="Hyperlink"/>
          </w:rPr>
          <w:t>LSPA Financial Services</w:t>
        </w:r>
      </w:hyperlink>
      <w:r>
        <w:t xml:space="preserve"> website. </w:t>
      </w:r>
    </w:p>
    <w:p w14:paraId="1EC58793" w14:textId="77777777" w:rsidR="00D80F48" w:rsidRDefault="00D80F48" w:rsidP="00394A37">
      <w:pPr>
        <w:spacing w:after="0" w:line="240" w:lineRule="auto"/>
      </w:pPr>
    </w:p>
    <w:p w14:paraId="59A506CF" w14:textId="0281620B" w:rsidR="00D80F48" w:rsidRDefault="00D80F48" w:rsidP="00394A37">
      <w:pPr>
        <w:spacing w:after="0" w:line="240" w:lineRule="auto"/>
      </w:pPr>
      <w:r>
        <w:t>The budget justification (or budget narrative) should be a categorical description and explanation of proposed costs in the budget. The budget justification is a required proposal component for most sponsors and required by UCLA OCGA even when the sponsor does not require the document.</w:t>
      </w:r>
    </w:p>
    <w:p w14:paraId="6E7F8052" w14:textId="77777777" w:rsidR="00415A3F" w:rsidRDefault="00415A3F" w:rsidP="00394A37">
      <w:pPr>
        <w:spacing w:after="0" w:line="240" w:lineRule="auto"/>
      </w:pPr>
    </w:p>
    <w:p w14:paraId="17E5263F" w14:textId="77777777" w:rsidR="00415A3F" w:rsidRDefault="00415A3F" w:rsidP="00394A37">
      <w:pPr>
        <w:spacing w:after="0" w:line="240" w:lineRule="auto"/>
      </w:pPr>
    </w:p>
    <w:sectPr w:rsidR="00415A3F" w:rsidSect="00613D9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0CC12" w14:textId="77777777" w:rsidR="00C800C5" w:rsidRDefault="00C800C5" w:rsidP="00C800C5">
      <w:pPr>
        <w:spacing w:after="0" w:line="240" w:lineRule="auto"/>
      </w:pPr>
      <w:r>
        <w:separator/>
      </w:r>
    </w:p>
  </w:endnote>
  <w:endnote w:type="continuationSeparator" w:id="0">
    <w:p w14:paraId="058A61A5" w14:textId="77777777" w:rsidR="00C800C5" w:rsidRDefault="00C800C5" w:rsidP="00C8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962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45A2C" w14:textId="5C144723" w:rsidR="000A4F53" w:rsidRDefault="000A4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5F106" w14:textId="32CF993E" w:rsidR="00774154" w:rsidRPr="000A4F53" w:rsidRDefault="000A4F53" w:rsidP="000A4F53">
    <w:pPr>
      <w:pStyle w:val="Footer"/>
      <w:jc w:val="right"/>
      <w:rPr>
        <w:i/>
        <w:iCs/>
        <w:sz w:val="20"/>
        <w:szCs w:val="20"/>
      </w:rPr>
    </w:pPr>
    <w:r w:rsidRPr="000A4F53">
      <w:rPr>
        <w:i/>
        <w:iCs/>
        <w:sz w:val="20"/>
        <w:szCs w:val="20"/>
      </w:rPr>
      <w:t>Last update 4/</w:t>
    </w:r>
    <w:r w:rsidR="008D6DF1">
      <w:rPr>
        <w:i/>
        <w:iCs/>
        <w:sz w:val="20"/>
        <w:szCs w:val="20"/>
      </w:rPr>
      <w:t>29</w:t>
    </w:r>
    <w:r w:rsidRPr="000A4F53">
      <w:rPr>
        <w:i/>
        <w:iCs/>
        <w:sz w:val="20"/>
        <w:szCs w:val="20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7F6D4" w14:textId="77777777" w:rsidR="00C800C5" w:rsidRDefault="00C800C5" w:rsidP="00C800C5">
      <w:pPr>
        <w:spacing w:after="0" w:line="240" w:lineRule="auto"/>
      </w:pPr>
      <w:r>
        <w:separator/>
      </w:r>
    </w:p>
  </w:footnote>
  <w:footnote w:type="continuationSeparator" w:id="0">
    <w:p w14:paraId="520451AF" w14:textId="77777777" w:rsidR="00C800C5" w:rsidRDefault="00C800C5" w:rsidP="00C8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8995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FDDE4F" w14:textId="266138BD" w:rsidR="00774154" w:rsidRDefault="000A4F53" w:rsidP="000A4F53">
        <w:pPr>
          <w:pStyle w:val="Header"/>
        </w:pPr>
        <w:r>
          <w:rPr>
            <w:noProof/>
          </w:rPr>
          <w:drawing>
            <wp:inline distT="0" distB="0" distL="0" distR="0" wp14:anchorId="0707667D" wp14:editId="41F37C10">
              <wp:extent cx="2045929" cy="427990"/>
              <wp:effectExtent l="0" t="0" r="0" b="0"/>
              <wp:docPr id="22487240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4872404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944" t="20021" r="10085" b="15694"/>
                      <a:stretch/>
                    </pic:blipFill>
                    <pic:spPr bwMode="auto">
                      <a:xfrm>
                        <a:off x="0" y="0"/>
                        <a:ext cx="2048458" cy="4285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EB77BE">
          <w:rPr>
            <w:sz w:val="36"/>
            <w:szCs w:val="36"/>
          </w:rPr>
          <w:ptab w:relativeTo="margin" w:alignment="center" w:leader="none"/>
        </w:r>
        <w:r w:rsidRPr="00EB77BE">
          <w:rPr>
            <w:sz w:val="36"/>
            <w:szCs w:val="36"/>
          </w:rPr>
          <w:ptab w:relativeTo="margin" w:alignment="right" w:leader="none"/>
        </w:r>
        <w:r w:rsidRPr="00EB77BE">
          <w:rPr>
            <w:rFonts w:ascii="Aptos Display" w:hAnsi="Aptos Display"/>
            <w:b/>
            <w:bCs/>
            <w:sz w:val="36"/>
            <w:szCs w:val="36"/>
          </w:rPr>
          <w:t>Financial Services Office</w:t>
        </w:r>
      </w:p>
    </w:sdtContent>
  </w:sdt>
  <w:p w14:paraId="4466AF93" w14:textId="77777777" w:rsidR="00774154" w:rsidRDefault="0077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013D"/>
    <w:multiLevelType w:val="hybridMultilevel"/>
    <w:tmpl w:val="FE385320"/>
    <w:lvl w:ilvl="0" w:tplc="7C94B06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53D"/>
    <w:multiLevelType w:val="hybridMultilevel"/>
    <w:tmpl w:val="6DB42772"/>
    <w:lvl w:ilvl="0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26D"/>
    <w:multiLevelType w:val="hybridMultilevel"/>
    <w:tmpl w:val="91FACC32"/>
    <w:lvl w:ilvl="0" w:tplc="06AEA25C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21022A"/>
    <w:multiLevelType w:val="hybridMultilevel"/>
    <w:tmpl w:val="45FAE84A"/>
    <w:lvl w:ilvl="0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528"/>
    <w:multiLevelType w:val="hybridMultilevel"/>
    <w:tmpl w:val="6FF6A9F8"/>
    <w:lvl w:ilvl="0" w:tplc="5F746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5316C"/>
    <w:multiLevelType w:val="hybridMultilevel"/>
    <w:tmpl w:val="C374DFCC"/>
    <w:lvl w:ilvl="0" w:tplc="49106D0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  <w:color w:val="auto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901E2"/>
    <w:multiLevelType w:val="hybridMultilevel"/>
    <w:tmpl w:val="250EFDE6"/>
    <w:lvl w:ilvl="0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30D8"/>
    <w:multiLevelType w:val="hybridMultilevel"/>
    <w:tmpl w:val="28C8E6A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63F53"/>
    <w:multiLevelType w:val="hybridMultilevel"/>
    <w:tmpl w:val="EA36AFC0"/>
    <w:lvl w:ilvl="0" w:tplc="2E082F98">
      <w:start w:val="1"/>
      <w:numFmt w:val="bullet"/>
      <w:lvlText w:val=""/>
      <w:lvlJc w:val="left"/>
      <w:pPr>
        <w:ind w:left="630" w:hanging="360"/>
      </w:pPr>
      <w:rPr>
        <w:rFonts w:ascii="Wingdings 2" w:eastAsiaTheme="minorHAnsi" w:hAnsi="Wingdings 2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52610A9"/>
    <w:multiLevelType w:val="hybridMultilevel"/>
    <w:tmpl w:val="B5D8B844"/>
    <w:lvl w:ilvl="0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7E01"/>
    <w:multiLevelType w:val="hybridMultilevel"/>
    <w:tmpl w:val="22E280A0"/>
    <w:lvl w:ilvl="0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4EB"/>
    <w:multiLevelType w:val="hybridMultilevel"/>
    <w:tmpl w:val="F0CEC792"/>
    <w:lvl w:ilvl="0" w:tplc="DB90B0D0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07605CA"/>
    <w:multiLevelType w:val="hybridMultilevel"/>
    <w:tmpl w:val="92A2C400"/>
    <w:lvl w:ilvl="0" w:tplc="2E082F98">
      <w:start w:val="1"/>
      <w:numFmt w:val="bullet"/>
      <w:lvlText w:val=""/>
      <w:lvlJc w:val="left"/>
      <w:pPr>
        <w:ind w:left="630" w:hanging="360"/>
      </w:pPr>
      <w:rPr>
        <w:rFonts w:ascii="Wingdings 2" w:eastAsiaTheme="minorHAnsi" w:hAnsi="Wingdings 2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5A7995"/>
    <w:multiLevelType w:val="hybridMultilevel"/>
    <w:tmpl w:val="68ACEEDC"/>
    <w:lvl w:ilvl="0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46DED"/>
    <w:multiLevelType w:val="hybridMultilevel"/>
    <w:tmpl w:val="2286BF08"/>
    <w:lvl w:ilvl="0" w:tplc="748823E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8827DEF"/>
    <w:multiLevelType w:val="hybridMultilevel"/>
    <w:tmpl w:val="B28E778E"/>
    <w:lvl w:ilvl="0" w:tplc="06AEA2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12EB0"/>
    <w:multiLevelType w:val="hybridMultilevel"/>
    <w:tmpl w:val="0638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F8B"/>
    <w:multiLevelType w:val="hybridMultilevel"/>
    <w:tmpl w:val="6E4CB7A4"/>
    <w:lvl w:ilvl="0" w:tplc="55B0D0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A645FF"/>
    <w:multiLevelType w:val="hybridMultilevel"/>
    <w:tmpl w:val="782C98B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CF6"/>
    <w:multiLevelType w:val="hybridMultilevel"/>
    <w:tmpl w:val="4F5E3856"/>
    <w:lvl w:ilvl="0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A2B54"/>
    <w:multiLevelType w:val="hybridMultilevel"/>
    <w:tmpl w:val="2F0891D4"/>
    <w:lvl w:ilvl="0" w:tplc="06AEA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92A77"/>
    <w:multiLevelType w:val="hybridMultilevel"/>
    <w:tmpl w:val="C1D21342"/>
    <w:lvl w:ilvl="0" w:tplc="2E082F98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D1E5F"/>
    <w:multiLevelType w:val="hybridMultilevel"/>
    <w:tmpl w:val="65E4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C100D"/>
    <w:multiLevelType w:val="hybridMultilevel"/>
    <w:tmpl w:val="9EB0509C"/>
    <w:lvl w:ilvl="0" w:tplc="DDE4249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457334">
    <w:abstractNumId w:val="17"/>
  </w:num>
  <w:num w:numId="2" w16cid:durableId="704327625">
    <w:abstractNumId w:val="11"/>
  </w:num>
  <w:num w:numId="3" w16cid:durableId="1412311832">
    <w:abstractNumId w:val="23"/>
  </w:num>
  <w:num w:numId="4" w16cid:durableId="3825501">
    <w:abstractNumId w:val="14"/>
  </w:num>
  <w:num w:numId="5" w16cid:durableId="891229234">
    <w:abstractNumId w:val="19"/>
  </w:num>
  <w:num w:numId="6" w16cid:durableId="741878300">
    <w:abstractNumId w:val="4"/>
  </w:num>
  <w:num w:numId="7" w16cid:durableId="1688631180">
    <w:abstractNumId w:val="6"/>
  </w:num>
  <w:num w:numId="8" w16cid:durableId="1195119743">
    <w:abstractNumId w:val="16"/>
  </w:num>
  <w:num w:numId="9" w16cid:durableId="782070566">
    <w:abstractNumId w:val="9"/>
  </w:num>
  <w:num w:numId="10" w16cid:durableId="463697333">
    <w:abstractNumId w:val="21"/>
  </w:num>
  <w:num w:numId="11" w16cid:durableId="901982948">
    <w:abstractNumId w:val="3"/>
  </w:num>
  <w:num w:numId="12" w16cid:durableId="1738746719">
    <w:abstractNumId w:val="20"/>
  </w:num>
  <w:num w:numId="13" w16cid:durableId="2030134070">
    <w:abstractNumId w:val="2"/>
  </w:num>
  <w:num w:numId="14" w16cid:durableId="683484813">
    <w:abstractNumId w:val="1"/>
  </w:num>
  <w:num w:numId="15" w16cid:durableId="247231013">
    <w:abstractNumId w:val="13"/>
  </w:num>
  <w:num w:numId="16" w16cid:durableId="578518524">
    <w:abstractNumId w:val="8"/>
  </w:num>
  <w:num w:numId="17" w16cid:durableId="1283926555">
    <w:abstractNumId w:val="10"/>
  </w:num>
  <w:num w:numId="18" w16cid:durableId="2012953396">
    <w:abstractNumId w:val="0"/>
  </w:num>
  <w:num w:numId="19" w16cid:durableId="963736173">
    <w:abstractNumId w:val="5"/>
  </w:num>
  <w:num w:numId="20" w16cid:durableId="440033829">
    <w:abstractNumId w:val="22"/>
  </w:num>
  <w:num w:numId="21" w16cid:durableId="399865144">
    <w:abstractNumId w:val="18"/>
  </w:num>
  <w:num w:numId="22" w16cid:durableId="1146508889">
    <w:abstractNumId w:val="15"/>
  </w:num>
  <w:num w:numId="23" w16cid:durableId="147869666">
    <w:abstractNumId w:val="7"/>
  </w:num>
  <w:num w:numId="24" w16cid:durableId="880751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3F"/>
    <w:rsid w:val="000109AE"/>
    <w:rsid w:val="000604AC"/>
    <w:rsid w:val="00061F05"/>
    <w:rsid w:val="00066EC5"/>
    <w:rsid w:val="000A2E71"/>
    <w:rsid w:val="000A4F53"/>
    <w:rsid w:val="000B317C"/>
    <w:rsid w:val="000C6BC7"/>
    <w:rsid w:val="0011291D"/>
    <w:rsid w:val="00165733"/>
    <w:rsid w:val="00171B94"/>
    <w:rsid w:val="00173604"/>
    <w:rsid w:val="001920DA"/>
    <w:rsid w:val="00194BF5"/>
    <w:rsid w:val="001B749D"/>
    <w:rsid w:val="00204CD4"/>
    <w:rsid w:val="00222116"/>
    <w:rsid w:val="002534BF"/>
    <w:rsid w:val="002805B6"/>
    <w:rsid w:val="002C5F5A"/>
    <w:rsid w:val="002D4590"/>
    <w:rsid w:val="00332150"/>
    <w:rsid w:val="00352708"/>
    <w:rsid w:val="003618BA"/>
    <w:rsid w:val="003706FD"/>
    <w:rsid w:val="00394A37"/>
    <w:rsid w:val="003D1295"/>
    <w:rsid w:val="003D1959"/>
    <w:rsid w:val="00402CF0"/>
    <w:rsid w:val="00415A3F"/>
    <w:rsid w:val="004534BF"/>
    <w:rsid w:val="004C515B"/>
    <w:rsid w:val="004D79EE"/>
    <w:rsid w:val="004F038C"/>
    <w:rsid w:val="00540903"/>
    <w:rsid w:val="005422D1"/>
    <w:rsid w:val="005628AB"/>
    <w:rsid w:val="00562D21"/>
    <w:rsid w:val="00576E84"/>
    <w:rsid w:val="005C451B"/>
    <w:rsid w:val="005C614B"/>
    <w:rsid w:val="005D6BB6"/>
    <w:rsid w:val="005E7544"/>
    <w:rsid w:val="00613D92"/>
    <w:rsid w:val="006861C3"/>
    <w:rsid w:val="00690D03"/>
    <w:rsid w:val="006D2048"/>
    <w:rsid w:val="00705618"/>
    <w:rsid w:val="00751152"/>
    <w:rsid w:val="00774154"/>
    <w:rsid w:val="007845E2"/>
    <w:rsid w:val="0079719B"/>
    <w:rsid w:val="0082280D"/>
    <w:rsid w:val="00850ED4"/>
    <w:rsid w:val="00872D94"/>
    <w:rsid w:val="00894D8D"/>
    <w:rsid w:val="008D6DF1"/>
    <w:rsid w:val="009143B2"/>
    <w:rsid w:val="009211C5"/>
    <w:rsid w:val="009340F2"/>
    <w:rsid w:val="00987ECD"/>
    <w:rsid w:val="009B2A70"/>
    <w:rsid w:val="009F0CE4"/>
    <w:rsid w:val="00A36FBC"/>
    <w:rsid w:val="00A37035"/>
    <w:rsid w:val="00A647CF"/>
    <w:rsid w:val="00A86678"/>
    <w:rsid w:val="00AC3749"/>
    <w:rsid w:val="00AC5A2E"/>
    <w:rsid w:val="00B73D3A"/>
    <w:rsid w:val="00B8183A"/>
    <w:rsid w:val="00B846BE"/>
    <w:rsid w:val="00BA15C5"/>
    <w:rsid w:val="00BB7B0C"/>
    <w:rsid w:val="00C045AA"/>
    <w:rsid w:val="00C800C5"/>
    <w:rsid w:val="00CC0C27"/>
    <w:rsid w:val="00CD0BA0"/>
    <w:rsid w:val="00CD3DA5"/>
    <w:rsid w:val="00CE6C87"/>
    <w:rsid w:val="00D12949"/>
    <w:rsid w:val="00D16FC8"/>
    <w:rsid w:val="00D61976"/>
    <w:rsid w:val="00D632E3"/>
    <w:rsid w:val="00D66787"/>
    <w:rsid w:val="00D71BE1"/>
    <w:rsid w:val="00D80F48"/>
    <w:rsid w:val="00DA5B00"/>
    <w:rsid w:val="00E03614"/>
    <w:rsid w:val="00E045E8"/>
    <w:rsid w:val="00E56B45"/>
    <w:rsid w:val="00E73075"/>
    <w:rsid w:val="00EC3315"/>
    <w:rsid w:val="00EE36E6"/>
    <w:rsid w:val="00EF68FD"/>
    <w:rsid w:val="00F350A3"/>
    <w:rsid w:val="00F37DCA"/>
    <w:rsid w:val="00F50D9A"/>
    <w:rsid w:val="00F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2EA23B"/>
  <w15:chartTrackingRefBased/>
  <w15:docId w15:val="{97D53E7D-B98E-4A5F-988C-7898B5E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3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C5"/>
  </w:style>
  <w:style w:type="paragraph" w:styleId="Footer">
    <w:name w:val="footer"/>
    <w:basedOn w:val="Normal"/>
    <w:link w:val="FooterChar"/>
    <w:uiPriority w:val="99"/>
    <w:unhideWhenUsed/>
    <w:rsid w:val="00C8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C5"/>
  </w:style>
  <w:style w:type="character" w:styleId="PlaceholderText">
    <w:name w:val="Placeholder Text"/>
    <w:basedOn w:val="DefaultParagraphFont"/>
    <w:uiPriority w:val="99"/>
    <w:semiHidden/>
    <w:rsid w:val="00C80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ucla.edu/support-training/campus-billing-hel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oprals.state.gov/content.asp?content_id=185&amp;menu_id=7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uskin.ucla.edu/administration/financial-services/form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nce.ucla.edu/composite-benefit-rate-assess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cga.research.ucla.edu/facilities-and-administrative/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finance.ucla.edu/general-and-employment-liability-gael-assessment-r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6665B7-D476-4AA3-B96C-C4BA292A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Marsha</dc:creator>
  <cp:keywords/>
  <dc:description/>
  <cp:lastModifiedBy>Blum, Marsha</cp:lastModifiedBy>
  <cp:revision>86</cp:revision>
  <dcterms:created xsi:type="dcterms:W3CDTF">2024-01-27T01:19:00Z</dcterms:created>
  <dcterms:modified xsi:type="dcterms:W3CDTF">2024-04-30T06:27:00Z</dcterms:modified>
</cp:coreProperties>
</file>